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480"/>
              <w:left w:type="dxa" w:w="480"/>
              <w:bottom w:type="dxa" w:w="480"/>
              <w:right w:type="dxa" w:w="480"/>
            </w:tcMar>
          </w:tcPr>
          <w:p>
            <w:pPr>
              <w:spacing w:after="60" w:before="0"/>
            </w:pPr>
            <w:r>
              <w:rPr>
                <w:rFonts w:ascii="Arial" w:cs="Arial" w:eastAsia="Arial" w:hAnsi="Arial"/>
                <w:b/>
                <w:bCs/>
                <w:color w:val="94A3B8"/>
                <w:spacing w:val="60"/>
                <w:sz w:val="18"/>
                <w:szCs w:val="18"/>
              </w:rPr>
              <w:t xml:space="preserve">V&amp;E  ·  GenAI Hackathon  ·  2026</w:t>
            </w:r>
          </w:p>
          <w:p>
            <w:pPr>
              <w:spacing w:after="120" w:before="0"/>
            </w:pPr>
            <w:r>
              <w:rPr>
                <w:rFonts w:ascii="Arial" w:cs="Arial" w:eastAsia="Arial" w:hAnsi="Arial"/>
                <w:b/>
                <w:bCs/>
                <w:color w:val="FFFFFF"/>
                <w:sz w:val="80"/>
                <w:szCs w:val="80"/>
              </w:rPr>
              <w:t xml:space="preserve">VISUAL </w:t>
            </w:r>
            <w:r>
              <w:rPr>
                <w:rFonts w:ascii="Arial" w:cs="Arial" w:eastAsia="Arial" w:hAnsi="Arial"/>
                <w:b/>
                <w:bCs/>
                <w:color w:val="C8102E"/>
                <w:sz w:val="80"/>
                <w:szCs w:val="80"/>
              </w:rPr>
              <w:t xml:space="preserve">EDGE</w:t>
            </w:r>
          </w:p>
          <w:p>
            <w:pPr>
              <w:spacing w:after="160" w:before="0"/>
            </w:pPr>
            <w:r>
              <w:rPr>
                <w:rFonts w:ascii="Arial" w:cs="Arial" w:eastAsia="Arial" w:hAnsi="Arial"/>
                <w:color w:val="D7D8D6"/>
                <w:sz w:val="34"/>
                <w:szCs w:val="34"/>
              </w:rPr>
              <w:t xml:space="preserve">Signal Over Noise</w:t>
            </w:r>
          </w:p>
          <w:p>
            <w:pPr>
              <w:pBdr>
                <w:bottom w:val="single" w:color="C8102E" w:sz="6"/>
              </w:pBdr>
              <w:spacing w:after="100" w:before="100"/>
            </w:pPr>
          </w:p>
          <w:p>
            <w:pPr>
              <w:spacing w:after="80" w:before="160"/>
            </w:pPr>
            <w:r>
              <w:rPr>
                <w:rFonts w:ascii="Arial" w:cs="Arial" w:eastAsia="Arial" w:hAnsi="Arial"/>
                <w:color w:val="94A3B8"/>
                <w:sz w:val="22"/>
                <w:szCs w:val="22"/>
              </w:rPr>
              <w:t xml:space="preserve">AI-Powered Adaptive Readability &amp; Workflow Intelligence</w:t>
            </w:r>
          </w:p>
          <w:p>
            <w:pPr>
              <w:spacing w:after="320" w:before="0"/>
            </w:pPr>
            <w:r>
              <w:rPr>
                <w:rFonts w:ascii="Arial" w:cs="Arial" w:eastAsia="Arial" w:hAnsi="Arial"/>
                <w:color w:val="64748B"/>
                <w:sz w:val="20"/>
                <w:szCs w:val="20"/>
              </w:rPr>
              <w:t xml:space="preserve">Product Case Study  ·  Brooklyn Mettlach  ·  Vinson &amp; Elkins LLP</w:t>
            </w:r>
          </w:p>
        </w:tc>
      </w:tr>
    </w:tbl>
    <w:p>
      <w:pPr>
        <w:spacing w:after="0" w:before="4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none" w:color="FFFFFF" w:sz="0"/>
              <w:left w:val="none" w:color="FFFFFF" w:sz="0"/>
              <w:bottom w:val="none" w:color="FFFFFF" w:sz="0"/>
              <w:right w:val="none" w:color="FFFFFF" w:sz="0"/>
            </w:tcBorders>
            <w:shd w:fill="E0F2FE" w:val="clear"/>
            <w:tcMar>
              <w:top w:type="dxa" w:w="200"/>
              <w:left w:type="dxa" w:w="200"/>
              <w:bottom w:type="dxa" w:w="200"/>
              <w:right w:type="dxa" w:w="200"/>
            </w:tcMar>
          </w:tcPr>
          <w:p>
            <w:pPr>
              <w:spacing w:after="40" w:before="0"/>
              <w:jc w:val="center"/>
            </w:pPr>
            <w:r>
              <w:rPr>
                <w:rFonts w:ascii="Arial" w:cs="Arial" w:eastAsia="Arial" w:hAnsi="Arial"/>
                <w:b/>
                <w:bCs/>
                <w:color w:val="0076BC"/>
                <w:spacing w:val="60"/>
                <w:sz w:val="16"/>
                <w:szCs w:val="16"/>
              </w:rPr>
              <w:t xml:space="preserve">PHASE 1</w:t>
            </w:r>
          </w:p>
          <w:p>
            <w:pPr>
              <w:spacing w:after="0" w:before="0"/>
              <w:jc w:val="center"/>
            </w:pPr>
            <w:r>
              <w:rPr>
                <w:rFonts w:ascii="Arial" w:cs="Arial" w:eastAsia="Arial" w:hAnsi="Arial"/>
                <w:b/>
                <w:bCs/>
                <w:color w:val="1B2A4A"/>
                <w:sz w:val="22"/>
                <w:szCs w:val="22"/>
              </w:rPr>
              <w:t xml:space="preserve">Help Me See</w:t>
            </w:r>
          </w:p>
        </w:tc>
        <w:tc>
          <w:tcPr>
            <w:tcW w:type="dxa" w:w="3120"/>
            <w:tcBorders>
              <w:top w:val="none" w:color="FFFFFF" w:sz="0"/>
              <w:left w:val="none" w:color="FFFFFF" w:sz="0"/>
              <w:bottom w:val="none" w:color="FFFFFF" w:sz="0"/>
              <w:right w:val="none" w:color="FFFFFF" w:sz="0"/>
            </w:tcBorders>
            <w:shd w:fill="FFF3CD" w:val="clear"/>
            <w:tcMar>
              <w:top w:type="dxa" w:w="200"/>
              <w:left w:type="dxa" w:w="200"/>
              <w:bottom w:type="dxa" w:w="200"/>
              <w:right w:type="dxa" w:w="200"/>
            </w:tcMar>
          </w:tcPr>
          <w:p>
            <w:pPr>
              <w:spacing w:after="40" w:before="0"/>
              <w:jc w:val="center"/>
            </w:pPr>
            <w:r>
              <w:rPr>
                <w:rFonts w:ascii="Arial" w:cs="Arial" w:eastAsia="Arial" w:hAnsi="Arial"/>
                <w:b/>
                <w:bCs/>
                <w:color w:val="C97B00"/>
                <w:spacing w:val="60"/>
                <w:sz w:val="16"/>
                <w:szCs w:val="16"/>
              </w:rPr>
              <w:t xml:space="preserve">PHASE 2</w:t>
            </w:r>
          </w:p>
          <w:p>
            <w:pPr>
              <w:spacing w:after="0" w:before="0"/>
              <w:jc w:val="center"/>
            </w:pPr>
            <w:r>
              <w:rPr>
                <w:rFonts w:ascii="Arial" w:cs="Arial" w:eastAsia="Arial" w:hAnsi="Arial"/>
                <w:b/>
                <w:bCs/>
                <w:color w:val="1B2A4A"/>
                <w:sz w:val="22"/>
                <w:szCs w:val="22"/>
              </w:rPr>
              <w:t xml:space="preserve">Help Me Prioritize</w:t>
            </w:r>
          </w:p>
        </w:tc>
        <w:tc>
          <w:tcPr>
            <w:tcW w:type="dxa" w:w="3120"/>
            <w:tcBorders>
              <w:top w:val="none" w:color="FFFFFF" w:sz="0"/>
              <w:left w:val="none" w:color="FFFFFF" w:sz="0"/>
              <w:bottom w:val="none" w:color="FFFFFF" w:sz="0"/>
              <w:right w:val="none" w:color="FFFFFF" w:sz="0"/>
            </w:tcBorders>
            <w:shd w:fill="FEE2E2" w:val="clear"/>
            <w:tcMar>
              <w:top w:type="dxa" w:w="200"/>
              <w:left w:type="dxa" w:w="200"/>
              <w:bottom w:type="dxa" w:w="200"/>
              <w:right w:type="dxa" w:w="200"/>
            </w:tcMar>
          </w:tcPr>
          <w:p>
            <w:pPr>
              <w:spacing w:after="40" w:before="0"/>
              <w:jc w:val="center"/>
            </w:pPr>
            <w:r>
              <w:rPr>
                <w:rFonts w:ascii="Arial" w:cs="Arial" w:eastAsia="Arial" w:hAnsi="Arial"/>
                <w:b/>
                <w:bCs/>
                <w:color w:val="C8102E"/>
                <w:spacing w:val="60"/>
                <w:sz w:val="16"/>
                <w:szCs w:val="16"/>
              </w:rPr>
              <w:t xml:space="preserve">PHASE 3</w:t>
            </w:r>
          </w:p>
          <w:p>
            <w:pPr>
              <w:spacing w:after="0" w:before="0"/>
              <w:jc w:val="center"/>
            </w:pPr>
            <w:r>
              <w:rPr>
                <w:rFonts w:ascii="Arial" w:cs="Arial" w:eastAsia="Arial" w:hAnsi="Arial"/>
                <w:b/>
                <w:bCs/>
                <w:color w:val="1B2A4A"/>
                <w:sz w:val="22"/>
                <w:szCs w:val="22"/>
              </w:rPr>
              <w:t xml:space="preserve">Help Me Remember</w:t>
            </w:r>
          </w:p>
        </w:tc>
      </w:tr>
    </w:tbl>
    <w:p>
      <w:pPr>
        <w:spacing w:after="0" w:before="600"/>
      </w:pPr>
    </w:p>
    <w:p>
      <w:r>
        <w:br w:type="page"/>
      </w:r>
    </w:p>
    <w:p>
      <w:pPr>
        <w:spacing w:after="60" w:before="280"/>
      </w:pPr>
      <w:r>
        <w:rPr>
          <w:rFonts w:ascii="Arial" w:cs="Arial" w:eastAsia="Arial" w:hAnsi="Arial"/>
          <w:b/>
          <w:bCs/>
          <w:color w:val="C8102E"/>
          <w:spacing w:val="80"/>
          <w:sz w:val="17"/>
          <w:szCs w:val="17"/>
        </w:rPr>
        <w:t xml:space="preserve">01 — EXECUTIVE SUMMARY</w:t>
      </w:r>
    </w:p>
    <w:p>
      <w:pPr>
        <w:spacing w:after="160" w:before="0"/>
      </w:pPr>
      <w:r>
        <w:rPr>
          <w:rFonts w:ascii="Arial" w:cs="Arial" w:eastAsia="Arial" w:hAnsi="Arial"/>
          <w:b/>
          <w:bCs/>
          <w:color w:val="1B2A4A"/>
          <w:sz w:val="36"/>
          <w:szCs w:val="36"/>
        </w:rPr>
        <w:t xml:space="preserve">From Overload to Clarity</w:t>
      </w:r>
    </w:p>
    <w:p>
      <w:pPr>
        <w:pBdr>
          <w:bottom w:val="single" w:color="C8102E" w:sz="12"/>
        </w:pBdr>
        <w:spacing w:after="100" w:before="100"/>
      </w:pPr>
    </w:p>
    <w:p>
      <w:pPr>
        <w:spacing w:after="0" w:before="120"/>
      </w:pPr>
    </w:p>
    <w:p>
      <w:pPr>
        <w:spacing w:after="80" w:before="80"/>
      </w:pPr>
      <w:r>
        <w:rPr>
          <w:rFonts w:ascii="Arial" w:cs="Arial" w:eastAsia="Arial" w:hAnsi="Arial"/>
          <w:b w:val="false"/>
          <w:bCs w:val="false"/>
          <w:color w:val="2C2C2C"/>
          <w:sz w:val="22"/>
          <w:szCs w:val="22"/>
        </w:rPr>
        <w:t xml:space="preserve">Visual Edge is an AI-powered adaptive readability and workflow intelligence system designed to help every person at a law firm — regardless of role, department, or cognitive style — automatically surface what matters most across documents, calendars, and inboxes.</w:t>
      </w:r>
    </w:p>
    <w:p>
      <w:pPr>
        <w:spacing w:after="0" w:before="80"/>
      </w:pPr>
    </w:p>
    <w:p>
      <w:pPr>
        <w:spacing w:after="80" w:before="80"/>
      </w:pPr>
      <w:r>
        <w:rPr>
          <w:rFonts w:ascii="Arial" w:cs="Arial" w:eastAsia="Arial" w:hAnsi="Arial"/>
          <w:b w:val="false"/>
          <w:bCs w:val="false"/>
          <w:color w:val="2C2C2C"/>
          <w:sz w:val="22"/>
          <w:szCs w:val="22"/>
        </w:rPr>
        <w:t xml:space="preserve">Built for the Vinson &amp; Elkins GenAI Hackathon, Visual Edge addresses one of the most universal problems in modern professional work: the gap between information received and information processed. The solution is not to generate more content or to automate decisions — it is to make the right information visible, in the right format, at the right moment.</w:t>
      </w:r>
    </w:p>
    <w:p>
      <w:pPr>
        <w:spacing w:after="0" w:before="80"/>
      </w:pPr>
    </w:p>
    <w:p>
      <w:pPr>
        <w:pBdr>
          <w:left w:val="single" w:color="C8102E" w:sz="24"/>
        </w:pBdr>
        <w:spacing w:after="240" w:before="240"/>
        <w:ind w:left="480" w:right="480"/>
      </w:pPr>
      <w:r>
        <w:rPr>
          <w:rFonts w:ascii="Arial" w:cs="Arial" w:eastAsia="Arial" w:hAnsi="Arial"/>
          <w:b/>
          <w:bCs/>
          <w:color w:val="1B2A4A"/>
          <w:sz w:val="28"/>
          <w:szCs w:val="28"/>
        </w:rPr>
        <w:t xml:space="preserve">The information was always there. Visual Edge makes sure it doesn't compete equally for your attention.</w:t>
      </w:r>
    </w:p>
    <w:p>
      <w:pPr>
        <w:spacing w:after="0" w:before="80"/>
      </w:pPr>
    </w:p>
    <w:p>
      <w:pPr>
        <w:spacing w:after="80" w:before="80"/>
      </w:pPr>
      <w:r>
        <w:rPr>
          <w:rFonts w:ascii="Arial" w:cs="Arial" w:eastAsia="Arial" w:hAnsi="Arial"/>
          <w:b w:val="false"/>
          <w:bCs w:val="false"/>
          <w:color w:val="2C2C2C"/>
          <w:sz w:val="22"/>
          <w:szCs w:val="22"/>
        </w:rPr>
        <w:t xml:space="preserve">Visual Edge operates in three progressive phases — Help Me See, Help Me Prioritize, Help Me Remember — each building on the last, and each designed to run entirely on tools V&amp;E has already approved: Harvey AI, Microsoft Copilot, and Zoom AI Companion. The project introduces zero new software. It is a formatting and workflow intelligence layer on top of what already exists.</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4800"/>
      </w:tblGrid>
      <w:tr>
        <w:tc>
          <w:tcPr>
            <w:tcW w:type="dxa" w:w="4560"/>
            <w:tcBorders>
              <w:top w:val="none" w:color="FFFFFF" w:sz="0"/>
              <w:left w:val="none" w:color="FFFFFF" w:sz="0"/>
              <w:bottom w:val="none" w:color="FFFFFF" w:sz="0"/>
              <w:right w:val="none" w:color="FFFFFF" w:sz="0"/>
            </w:tcBorders>
            <w:tcMar>
              <w:top w:type="dxa" w:w="80"/>
              <w:left w:type="dxa" w:w="0"/>
              <w:bottom w:type="dxa" w:w="80"/>
              <w:right w:type="dxa" w:w="200"/>
            </w:tcMar>
          </w:tcPr>
          <w:p>
            <w:pPr>
              <w:spacing w:after="80" w:before="240"/>
            </w:pPr>
            <w:r>
              <w:rPr>
                <w:rFonts w:ascii="Arial" w:cs="Arial" w:eastAsia="Arial" w:hAnsi="Arial"/>
                <w:b/>
                <w:bCs/>
                <w:color w:val="C8102E"/>
                <w:sz w:val="24"/>
                <w:szCs w:val="24"/>
              </w:rPr>
              <w:t xml:space="preserve">The Challenge</w:t>
            </w:r>
          </w:p>
          <w:p>
            <w:pPr>
              <w:spacing w:after="80" w:before="80"/>
            </w:pPr>
            <w:r>
              <w:rPr>
                <w:rFonts w:ascii="Arial" w:cs="Arial" w:eastAsia="Arial" w:hAnsi="Arial"/>
                <w:b w:val="false"/>
                <w:bCs w:val="false"/>
                <w:color w:val="2C2C2C"/>
                <w:sz w:val="22"/>
                <w:szCs w:val="22"/>
              </w:rPr>
              <w:t xml:space="preserve">Modern professionals process hundreds of inputs daily — emails, dense documents, crowded calendars, policy updates, meeting notes — with no system to distinguish the urgent from the ambient.</w:t>
            </w:r>
          </w:p>
        </w:tc>
        <w:tc>
          <w:tcPr>
            <w:tcW w:type="dxa" w:w="4800"/>
            <w:tcBorders>
              <w:top w:val="none" w:color="FFFFFF" w:sz="0"/>
              <w:left w:val="none" w:color="FFFFFF" w:sz="0"/>
              <w:bottom w:val="none" w:color="FFFFFF" w:sz="0"/>
              <w:right w:val="none" w:color="FFFFFF" w:sz="0"/>
            </w:tcBorders>
            <w:tcMar>
              <w:top w:type="dxa" w:w="80"/>
              <w:left w:type="dxa" w:w="200"/>
              <w:bottom w:type="dxa" w:w="80"/>
              <w:right w:type="dxa" w:w="0"/>
            </w:tcMar>
          </w:tcPr>
          <w:p>
            <w:pPr>
              <w:spacing w:after="80" w:before="240"/>
            </w:pPr>
            <w:r>
              <w:rPr>
                <w:rFonts w:ascii="Arial" w:cs="Arial" w:eastAsia="Arial" w:hAnsi="Arial"/>
                <w:b/>
                <w:bCs/>
                <w:color w:val="0076BC"/>
                <w:sz w:val="24"/>
                <w:szCs w:val="24"/>
              </w:rPr>
              <w:t xml:space="preserve">The Vision</w:t>
            </w:r>
          </w:p>
          <w:p>
            <w:pPr>
              <w:spacing w:after="80" w:before="80"/>
            </w:pPr>
            <w:r>
              <w:rPr>
                <w:rFonts w:ascii="Arial" w:cs="Arial" w:eastAsia="Arial" w:hAnsi="Arial"/>
                <w:b w:val="false"/>
                <w:bCs w:val="false"/>
                <w:color w:val="2C2C2C"/>
                <w:sz w:val="22"/>
                <w:szCs w:val="22"/>
              </w:rPr>
              <w:t xml:space="preserve">A firm where every person — attorneys, AV coordinators, legal assistants, BD teams, conference services — sees what requires their attention, immediately, in the format that works for them.</w:t>
            </w:r>
          </w:p>
        </w:tc>
      </w:tr>
    </w:tbl>
    <w:p>
      <w:pPr>
        <w:spacing w:after="0" w:before="200"/>
      </w:pPr>
    </w:p>
    <w:p>
      <w:r>
        <w:br w:type="page"/>
      </w:r>
    </w:p>
    <w:p>
      <w:pPr>
        <w:spacing w:after="60" w:before="280"/>
      </w:pPr>
      <w:r>
        <w:rPr>
          <w:rFonts w:ascii="Arial" w:cs="Arial" w:eastAsia="Arial" w:hAnsi="Arial"/>
          <w:b/>
          <w:bCs/>
          <w:color w:val="C8102E"/>
          <w:spacing w:val="80"/>
          <w:sz w:val="17"/>
          <w:szCs w:val="17"/>
        </w:rPr>
        <w:t xml:space="preserve">02 — THE PROBLEM</w:t>
      </w:r>
    </w:p>
    <w:p>
      <w:pPr>
        <w:spacing w:after="160" w:before="0"/>
      </w:pPr>
      <w:r>
        <w:rPr>
          <w:rFonts w:ascii="Arial" w:cs="Arial" w:eastAsia="Arial" w:hAnsi="Arial"/>
          <w:b/>
          <w:bCs/>
          <w:color w:val="1B2A4A"/>
          <w:sz w:val="36"/>
          <w:szCs w:val="36"/>
        </w:rPr>
        <w:t xml:space="preserve">Information Overload is Not a Personal Failing. It is Math.</w:t>
      </w:r>
    </w:p>
    <w:p>
      <w:pPr>
        <w:pBdr>
          <w:bottom w:val="single" w:color="C8102E" w:sz="12"/>
        </w:pBdr>
        <w:spacing w:after="100" w:before="100"/>
      </w:pPr>
    </w:p>
    <w:p>
      <w:pPr>
        <w:spacing w:after="0" w:before="120"/>
      </w:pPr>
    </w:p>
    <w:p>
      <w:pPr>
        <w:spacing w:after="80" w:before="80"/>
      </w:pPr>
      <w:r>
        <w:rPr>
          <w:rFonts w:ascii="Arial" w:cs="Arial" w:eastAsia="Arial" w:hAnsi="Arial"/>
          <w:b w:val="false"/>
          <w:bCs w:val="false"/>
          <w:color w:val="2C2C2C"/>
          <w:sz w:val="22"/>
          <w:szCs w:val="22"/>
        </w:rPr>
        <w:t xml:space="preserve">Modern workplaces generate more information per day than any person can reasonably prioritize unaided. This is not a motivation problem, a skill problem, or a time management problem. It is a structural problem created by tools that were designed to deliver information — not to surface it.</w:t>
      </w:r>
    </w:p>
    <w:p>
      <w:pPr>
        <w:spacing w:after="0" w:before="80"/>
      </w:pPr>
    </w:p>
    <w:p>
      <w:pPr>
        <w:spacing w:after="80" w:before="80"/>
      </w:pPr>
      <w:r>
        <w:rPr>
          <w:rFonts w:ascii="Arial" w:cs="Arial" w:eastAsia="Arial" w:hAnsi="Arial"/>
          <w:b w:val="false"/>
          <w:bCs w:val="false"/>
          <w:color w:val="5F636A"/>
          <w:sz w:val="22"/>
          <w:szCs w:val="22"/>
        </w:rPr>
        <w:t xml:space="preserve">The result is a daily experience shared across every role in a law firm:</w:t>
      </w:r>
    </w:p>
    <w:p>
      <w:pPr>
        <w:spacing w:after="0" w:before="60"/>
      </w:pPr>
    </w:p>
    <w:p>
      <w:pPr>
        <w:pStyle w:val="ListParagraph"/>
        <w:numPr>
          <w:ilvl w:val="0"/>
          <w:numId w:val="2"/>
        </w:numPr>
        <w:spacing w:after="60" w:before="60"/>
      </w:pPr>
      <w:r>
        <w:rPr>
          <w:rFonts w:ascii="Arial" w:cs="Arial" w:eastAsia="Arial" w:hAnsi="Arial"/>
          <w:color w:val="2C2C2C"/>
          <w:sz w:val="22"/>
          <w:szCs w:val="22"/>
        </w:rPr>
        <w:t xml:space="preserve">An inbox with 400 unread emails, where the message that requires action today is buried beneath newsletters, reply-all threads, and low-priority forwards.</w:t>
      </w:r>
    </w:p>
    <w:p>
      <w:pPr>
        <w:pStyle w:val="ListParagraph"/>
        <w:numPr>
          <w:ilvl w:val="0"/>
          <w:numId w:val="2"/>
        </w:numPr>
        <w:spacing w:after="60" w:before="60"/>
      </w:pPr>
      <w:r>
        <w:rPr>
          <w:rFonts w:ascii="Arial" w:cs="Arial" w:eastAsia="Arial" w:hAnsi="Arial"/>
          <w:color w:val="2C2C2C"/>
          <w:sz w:val="22"/>
          <w:szCs w:val="22"/>
        </w:rPr>
        <w:t xml:space="preserve">A calendar with 11 overlapping meetings, where your name is assigned to three of them — in the location field, invisible unless you hover over every block.</w:t>
      </w:r>
    </w:p>
    <w:p>
      <w:pPr>
        <w:pStyle w:val="ListParagraph"/>
        <w:numPr>
          <w:ilvl w:val="0"/>
          <w:numId w:val="2"/>
        </w:numPr>
        <w:spacing w:after="60" w:before="60"/>
      </w:pPr>
      <w:r>
        <w:rPr>
          <w:rFonts w:ascii="Arial" w:cs="Arial" w:eastAsia="Arial" w:hAnsi="Arial"/>
          <w:color w:val="2C2C2C"/>
          <w:sz w:val="22"/>
          <w:szCs w:val="22"/>
        </w:rPr>
        <w:t xml:space="preserve">A 45-page discovery document where the critical deadline is in paragraph eight, sentence three, with no visual distinction from the surrounding dense text.</w:t>
      </w:r>
    </w:p>
    <w:p>
      <w:pPr>
        <w:pStyle w:val="ListParagraph"/>
        <w:numPr>
          <w:ilvl w:val="0"/>
          <w:numId w:val="2"/>
        </w:numPr>
        <w:spacing w:after="60" w:before="60"/>
      </w:pPr>
      <w:r>
        <w:rPr>
          <w:rFonts w:ascii="Arial" w:cs="Arial" w:eastAsia="Arial" w:hAnsi="Arial"/>
          <w:color w:val="2C2C2C"/>
          <w:sz w:val="22"/>
          <w:szCs w:val="22"/>
        </w:rPr>
        <w:t xml:space="preserve">A policy update that arrived in paragraph seven of a forwarded email from two weeks ago.</w:t>
      </w:r>
    </w:p>
    <w:p>
      <w:pPr>
        <w:pStyle w:val="ListParagraph"/>
        <w:numPr>
          <w:ilvl w:val="0"/>
          <w:numId w:val="2"/>
        </w:numPr>
        <w:spacing w:after="60" w:before="60"/>
      </w:pPr>
      <w:r>
        <w:rPr>
          <w:rFonts w:ascii="Arial" w:cs="Arial" w:eastAsia="Arial" w:hAnsi="Arial"/>
          <w:color w:val="2C2C2C"/>
          <w:sz w:val="22"/>
          <w:szCs w:val="22"/>
        </w:rPr>
        <w:t xml:space="preserve">A client-specific preference that lived in one person's head — and that person is on vacation.</w:t>
      </w:r>
    </w:p>
    <w:p>
      <w:pPr>
        <w:pStyle w:val="ListParagraph"/>
        <w:numPr>
          <w:ilvl w:val="0"/>
          <w:numId w:val="2"/>
        </w:numPr>
        <w:spacing w:after="60" w:before="60"/>
      </w:pPr>
      <w:r>
        <w:rPr>
          <w:rFonts w:ascii="Arial" w:cs="Arial" w:eastAsia="Arial" w:hAnsi="Arial"/>
          <w:color w:val="2C2C2C"/>
          <w:sz w:val="22"/>
          <w:szCs w:val="22"/>
        </w:rPr>
        <w:t xml:space="preserve">A slide deck that arrived at 7 AM for a 9 AM meeting, sitting in an inbox nobody has time to scan.</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102E" w:sz="4"/>
              <w:left w:val="single" w:color="C8102E" w:sz="24"/>
              <w:bottom w:val="single" w:color="C8102E" w:sz="4"/>
              <w:right w:val="single" w:color="C8102E" w:sz="4"/>
            </w:tcBorders>
            <w:shd w:fill="FEF2F2" w:val="clear"/>
            <w:tcMar>
              <w:top w:type="dxa" w:w="160"/>
              <w:left w:type="dxa" w:w="240"/>
              <w:bottom w:type="dxa" w:w="160"/>
              <w:right w:type="dxa" w:w="240"/>
            </w:tcMar>
          </w:tcPr>
          <w:p>
            <w:pPr>
              <w:spacing w:after="60" w:before="0"/>
            </w:pPr>
            <w:r>
              <w:rPr>
                <w:rFonts w:ascii="Arial" w:cs="Arial" w:eastAsia="Arial" w:hAnsi="Arial"/>
                <w:b/>
                <w:bCs/>
                <w:color w:val="C8102E"/>
                <w:spacing w:val="80"/>
                <w:sz w:val="17"/>
                <w:szCs w:val="17"/>
              </w:rPr>
              <w:t xml:space="preserve">THE CORE INSIGHT</w:t>
            </w:r>
          </w:p>
          <w:p>
            <w:pPr>
              <w:spacing w:after="0" w:before="0"/>
            </w:pPr>
            <w:r>
              <w:rPr>
                <w:rFonts w:ascii="Arial" w:cs="Arial" w:eastAsia="Arial" w:hAnsi="Arial"/>
                <w:color w:val="2C2C2C"/>
                <w:sz w:val="22"/>
                <w:szCs w:val="22"/>
              </w:rPr>
              <w:t xml:space="preserve">The problem is not a lack of information. It is that critical signals are buried inside overwhelming noise — and our tools treat every input as equally worthy of attention. They were never designed to prioritize.</w:t>
            </w:r>
          </w:p>
        </w:tc>
      </w:tr>
    </w:tbl>
    <w:p>
      <w:pPr>
        <w:spacing w:after="0" w:before="160"/>
      </w:pPr>
    </w:p>
    <w:p>
      <w:pPr>
        <w:spacing w:after="80" w:before="80"/>
      </w:pPr>
      <w:r>
        <w:rPr>
          <w:rFonts w:ascii="Arial" w:cs="Arial" w:eastAsia="Arial" w:hAnsi="Arial"/>
          <w:b w:val="false"/>
          <w:bCs w:val="false"/>
          <w:color w:val="2C2C2C"/>
          <w:sz w:val="22"/>
          <w:szCs w:val="22"/>
        </w:rPr>
        <w:t xml:space="preserve">The consequences are not abstract. A missed dial-in confirmation. A recording that never starts. A client who walks into a partner-level meeting and something is wrong with the room. A legal deadline buried in a dense document that surfaces too late. These are real, recurring errors — and they affect everyone in the firm, from senior partners to the people who make their meetings run.</w:t>
      </w:r>
    </w:p>
    <w:p>
      <w:pPr>
        <w:spacing w:after="0" w:before="120"/>
      </w:pPr>
    </w:p>
    <w:p>
      <w:pPr>
        <w:spacing w:after="80" w:before="240"/>
      </w:pPr>
      <w:r>
        <w:rPr>
          <w:rFonts w:ascii="Arial" w:cs="Arial" w:eastAsia="Arial" w:hAnsi="Arial"/>
          <w:b/>
          <w:bCs/>
          <w:color w:val="1B2A4A"/>
          <w:sz w:val="24"/>
          <w:szCs w:val="24"/>
        </w:rPr>
        <w:t xml:space="preserve">Who Experiences This Most</w:t>
      </w:r>
    </w:p>
    <w:p>
      <w:pPr>
        <w:spacing w:after="80" w:before="80"/>
      </w:pPr>
      <w:r>
        <w:rPr>
          <w:rFonts w:ascii="Arial" w:cs="Arial" w:eastAsia="Arial" w:hAnsi="Arial"/>
          <w:b w:val="false"/>
          <w:bCs w:val="false"/>
          <w:color w:val="2C2C2C"/>
          <w:sz w:val="22"/>
          <w:szCs w:val="22"/>
        </w:rPr>
        <w:t xml:space="preserve">The challenge is universal — but it is most acute for the people managing the operational layer of legal work. AV coordinators tracking 14 meetings in a single day. Conference services teams managing room setups for dozens of organizers with different preferences. Legal assistants responsible for deadlines across multiple matters. Business development teams tracking client-specific context across years of relationship history.</w:t>
      </w:r>
    </w:p>
    <w:p>
      <w:pPr>
        <w:spacing w:after="0" w:before="80"/>
      </w:pPr>
    </w:p>
    <w:p>
      <w:pPr>
        <w:spacing w:after="80" w:before="80"/>
      </w:pPr>
      <w:r>
        <w:rPr>
          <w:rFonts w:ascii="Arial" w:cs="Arial" w:eastAsia="Arial" w:hAnsi="Arial"/>
          <w:b w:val="false"/>
          <w:bCs w:val="false"/>
          <w:color w:val="2C2C2C"/>
          <w:sz w:val="22"/>
          <w:szCs w:val="22"/>
        </w:rPr>
        <w:t xml:space="preserve">These professionals share a common problem: the tools they use were not designed with their cognitive workflow in mind. Visual Edge was.</w:t>
      </w:r>
    </w:p>
    <w:p>
      <w:pPr>
        <w:spacing w:after="0" w:before="200"/>
      </w:pPr>
    </w:p>
    <w:p>
      <w:r>
        <w:br w:type="page"/>
      </w:r>
    </w:p>
    <w:p>
      <w:pPr>
        <w:spacing w:after="60" w:before="280"/>
      </w:pPr>
      <w:r>
        <w:rPr>
          <w:rFonts w:ascii="Arial" w:cs="Arial" w:eastAsia="Arial" w:hAnsi="Arial"/>
          <w:b/>
          <w:bCs/>
          <w:color w:val="C8102E"/>
          <w:spacing w:val="80"/>
          <w:sz w:val="17"/>
          <w:szCs w:val="17"/>
        </w:rPr>
        <w:t xml:space="preserve">03 — RESEARCH &amp; INSPIRATION</w:t>
      </w:r>
    </w:p>
    <w:p>
      <w:pPr>
        <w:spacing w:after="160" w:before="0"/>
      </w:pPr>
      <w:r>
        <w:rPr>
          <w:rFonts w:ascii="Arial" w:cs="Arial" w:eastAsia="Arial" w:hAnsi="Arial"/>
          <w:b/>
          <w:bCs/>
          <w:color w:val="1B2A4A"/>
          <w:sz w:val="36"/>
          <w:szCs w:val="36"/>
        </w:rPr>
        <w:t xml:space="preserve">How Humans Already Solve This — By Hand</w:t>
      </w:r>
    </w:p>
    <w:p>
      <w:pPr>
        <w:pBdr>
          <w:bottom w:val="single" w:color="C8102E" w:sz="12"/>
        </w:pBdr>
        <w:spacing w:after="100" w:before="100"/>
      </w:pPr>
    </w:p>
    <w:p>
      <w:pPr>
        <w:spacing w:after="0" w:before="120"/>
      </w:pPr>
    </w:p>
    <w:p>
      <w:pPr>
        <w:spacing w:after="80" w:before="80"/>
      </w:pPr>
      <w:r>
        <w:rPr>
          <w:rFonts w:ascii="Arial" w:cs="Arial" w:eastAsia="Arial" w:hAnsi="Arial"/>
          <w:b w:val="false"/>
          <w:bCs w:val="false"/>
          <w:color w:val="2C2C2C"/>
          <w:sz w:val="22"/>
          <w:szCs w:val="22"/>
        </w:rPr>
        <w:t xml:space="preserve">The core insight behind Visual Edge came from studying something every professional already does: they build personal systems to make signal stand out from noise.</w:t>
      </w:r>
    </w:p>
    <w:p>
      <w:pPr>
        <w:spacing w:after="0" w:before="80"/>
      </w:pPr>
    </w:p>
    <w:p>
      <w:pPr>
        <w:spacing w:after="80" w:before="80"/>
      </w:pPr>
      <w:r>
        <w:rPr>
          <w:rFonts w:ascii="Arial" w:cs="Arial" w:eastAsia="Arial" w:hAnsi="Arial"/>
          <w:b w:val="false"/>
          <w:bCs w:val="false"/>
          <w:color w:val="2C2C2C"/>
          <w:sz w:val="22"/>
          <w:szCs w:val="22"/>
        </w:rPr>
        <w:t xml:space="preserve">Look at the notebooks, annotated documents, and color-coded calendars of any experienced professional. You will see the same techniques appear again and again — not because they were taught, but because the brain evolved to need them.</w:t>
      </w:r>
    </w:p>
    <w:p>
      <w:pPr>
        <w:spacing w:after="0" w:before="120"/>
      </w:pPr>
    </w:p>
    <w:p>
      <w:pPr>
        <w:pBdr>
          <w:left w:val="single" w:color="C8102E" w:sz="24"/>
        </w:pBdr>
        <w:spacing w:after="240" w:before="240"/>
        <w:ind w:left="480" w:right="480"/>
      </w:pPr>
      <w:r>
        <w:rPr>
          <w:rFonts w:ascii="Arial" w:cs="Arial" w:eastAsia="Arial" w:hAnsi="Arial"/>
          <w:b/>
          <w:bCs/>
          <w:color w:val="1B2A4A"/>
          <w:sz w:val="28"/>
          <w:szCs w:val="28"/>
        </w:rPr>
        <w:t xml:space="preserve">People have always known they need to solve the cognitive overload problem. Visual Edge learns from their instincts — and applies them at scale.</w:t>
      </w:r>
    </w:p>
    <w:p>
      <w:pPr>
        <w:spacing w:after="0" w:before="120"/>
      </w:pPr>
    </w:p>
    <w:p>
      <w:pPr>
        <w:spacing w:after="80" w:before="240"/>
      </w:pPr>
      <w:r>
        <w:rPr>
          <w:rFonts w:ascii="Arial" w:cs="Arial" w:eastAsia="Arial" w:hAnsi="Arial"/>
          <w:b/>
          <w:bCs/>
          <w:color w:val="1B2A4A"/>
          <w:sz w:val="24"/>
          <w:szCs w:val="24"/>
        </w:rPr>
        <w:t xml:space="preserve">Visual Techniques That Reduce Cognitive Load</w:t>
      </w:r>
    </w:p>
    <w:p>
      <w:pPr>
        <w:spacing w:after="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4800"/>
      </w:tblGrid>
      <w:tr>
        <w:tc>
          <w:tcPr>
            <w:tcW w:type="dxa" w:w="4560"/>
            <w:tcBorders>
              <w:top w:val="none" w:color="FFFFFF" w:sz="0"/>
              <w:left w:val="none" w:color="FFFFFF" w:sz="0"/>
              <w:bottom w:val="none" w:color="FFFFFF" w:sz="0"/>
              <w:right w:val="none" w:color="FFFFFF" w:sz="0"/>
            </w:tcBorders>
            <w:tcMar>
              <w:top w:type="dxa" w:w="80"/>
              <w:left w:type="dxa" w:w="0"/>
              <w:bottom w:type="dxa" w:w="80"/>
              <w:right w:type="dxa" w:w="200"/>
            </w:tcMar>
          </w:tcPr>
          <w:p>
            <w:pPr>
              <w:spacing w:after="80" w:before="240"/>
            </w:pPr>
            <w:r>
              <w:rPr>
                <w:rFonts w:ascii="Arial" w:cs="Arial" w:eastAsia="Arial" w:hAnsi="Arial"/>
                <w:b/>
                <w:bCs/>
                <w:color w:val="0076BC"/>
                <w:sz w:val="24"/>
                <w:szCs w:val="24"/>
              </w:rPr>
              <w:t xml:space="preserve">Color Coding</w:t>
            </w:r>
          </w:p>
          <w:p>
            <w:pPr>
              <w:spacing w:after="80" w:before="80"/>
            </w:pPr>
            <w:r>
              <w:rPr>
                <w:rFonts w:ascii="Arial" w:cs="Arial" w:eastAsia="Arial" w:hAnsi="Arial"/>
                <w:b w:val="false"/>
                <w:bCs w:val="false"/>
                <w:color w:val="2C2C2C"/>
                <w:sz w:val="22"/>
                <w:szCs w:val="22"/>
              </w:rPr>
              <w:t xml:space="preserve">Assigning colors to categories (client, deadline, urgency) pre-sorts information before the brain processes it. Research on visual working memory shows that features bound to the same visual object are recalled with significantly higher probability than unbound features — the act of grouping creates a cognitive shortcut.</w:t>
            </w:r>
          </w:p>
          <w:p>
            <w:pPr>
              <w:spacing w:after="0" w:before="80"/>
            </w:pPr>
          </w:p>
          <w:p>
            <w:pPr>
              <w:spacing w:after="80" w:before="240"/>
            </w:pPr>
            <w:r>
              <w:rPr>
                <w:rFonts w:ascii="Arial" w:cs="Arial" w:eastAsia="Arial" w:hAnsi="Arial"/>
                <w:b/>
                <w:bCs/>
                <w:color w:val="C97B00"/>
                <w:sz w:val="24"/>
                <w:szCs w:val="24"/>
              </w:rPr>
              <w:t xml:space="preserve">Chunking</w:t>
            </w:r>
          </w:p>
          <w:p>
            <w:pPr>
              <w:spacing w:after="80" w:before="80"/>
            </w:pPr>
            <w:r>
              <w:rPr>
                <w:rFonts w:ascii="Arial" w:cs="Arial" w:eastAsia="Arial" w:hAnsi="Arial"/>
                <w:b w:val="false"/>
                <w:bCs w:val="false"/>
                <w:color w:val="2C2C2C"/>
                <w:sz w:val="22"/>
                <w:szCs w:val="22"/>
              </w:rPr>
              <w:t xml:space="preserve">Breaking dense content into named sections with visible boundaries reduces the perceived complexity of information. The brain processes chunks as single units, reducing the number of items held in working memory simultaneously.</w:t>
            </w:r>
          </w:p>
          <w:p>
            <w:pPr>
              <w:spacing w:after="0" w:before="80"/>
            </w:pPr>
          </w:p>
          <w:p>
            <w:pPr>
              <w:spacing w:after="80" w:before="240"/>
            </w:pPr>
            <w:r>
              <w:rPr>
                <w:rFonts w:ascii="Arial" w:cs="Arial" w:eastAsia="Arial" w:hAnsi="Arial"/>
                <w:b/>
                <w:bCs/>
                <w:color w:val="1B2A4A"/>
                <w:sz w:val="24"/>
                <w:szCs w:val="24"/>
              </w:rPr>
              <w:t xml:space="preserve">Annotation &amp; Margin Notes</w:t>
            </w:r>
          </w:p>
          <w:p>
            <w:pPr>
              <w:spacing w:after="80" w:before="80"/>
            </w:pPr>
            <w:r>
              <w:rPr>
                <w:rFonts w:ascii="Arial" w:cs="Arial" w:eastAsia="Arial" w:hAnsi="Arial"/>
                <w:b w:val="false"/>
                <w:bCs w:val="false"/>
                <w:color w:val="2C2C2C"/>
                <w:sz w:val="22"/>
                <w:szCs w:val="22"/>
              </w:rPr>
              <w:t xml:space="preserve">Personal marks — stars, arrows, underlines, question marks — create a second layer of meaning on top of source content. They allow a reader to return to a document and immediately recover their prior reasoning without re-reading.</w:t>
            </w:r>
          </w:p>
        </w:tc>
        <w:tc>
          <w:tcPr>
            <w:tcW w:type="dxa" w:w="4800"/>
            <w:tcBorders>
              <w:top w:val="none" w:color="FFFFFF" w:sz="0"/>
              <w:left w:val="none" w:color="FFFFFF" w:sz="0"/>
              <w:bottom w:val="none" w:color="FFFFFF" w:sz="0"/>
              <w:right w:val="none" w:color="FFFFFF" w:sz="0"/>
            </w:tcBorders>
            <w:tcMar>
              <w:top w:type="dxa" w:w="80"/>
              <w:left w:type="dxa" w:w="200"/>
              <w:bottom w:type="dxa" w:w="80"/>
              <w:right w:type="dxa" w:w="0"/>
            </w:tcMar>
          </w:tcPr>
          <w:p>
            <w:pPr>
              <w:spacing w:after="80" w:before="240"/>
            </w:pPr>
            <w:r>
              <w:rPr>
                <w:rFonts w:ascii="Arial" w:cs="Arial" w:eastAsia="Arial" w:hAnsi="Arial"/>
                <w:b/>
                <w:bCs/>
                <w:color w:val="C8102E"/>
                <w:sz w:val="24"/>
                <w:szCs w:val="24"/>
              </w:rPr>
              <w:t xml:space="preserve">Visual Hierarchy</w:t>
            </w:r>
          </w:p>
          <w:p>
            <w:pPr>
              <w:spacing w:after="80" w:before="80"/>
            </w:pPr>
            <w:r>
              <w:rPr>
                <w:rFonts w:ascii="Arial" w:cs="Arial" w:eastAsia="Arial" w:hAnsi="Arial"/>
                <w:b w:val="false"/>
                <w:bCs w:val="false"/>
                <w:color w:val="2C2C2C"/>
                <w:sz w:val="22"/>
                <w:szCs w:val="22"/>
              </w:rPr>
              <w:t xml:space="preserve">Making the most important information larger, bolder, or higher on the page exploits the brain's natural tendency to process high-salience items first. Hierarchy is not decoration — it is a cognitive map.</w:t>
            </w:r>
          </w:p>
          <w:p>
            <w:pPr>
              <w:spacing w:after="0" w:before="80"/>
            </w:pPr>
          </w:p>
          <w:p>
            <w:pPr>
              <w:spacing w:after="80" w:before="240"/>
            </w:pPr>
            <w:r>
              <w:rPr>
                <w:rFonts w:ascii="Arial" w:cs="Arial" w:eastAsia="Arial" w:hAnsi="Arial"/>
                <w:b/>
                <w:bCs/>
                <w:color w:val="0076BC"/>
                <w:sz w:val="24"/>
                <w:szCs w:val="24"/>
              </w:rPr>
              <w:t xml:space="preserve">Spacing &amp; Breathing Room</w:t>
            </w:r>
          </w:p>
          <w:p>
            <w:pPr>
              <w:spacing w:after="80" w:before="80"/>
            </w:pPr>
            <w:r>
              <w:rPr>
                <w:rFonts w:ascii="Arial" w:cs="Arial" w:eastAsia="Arial" w:hAnsi="Arial"/>
                <w:b w:val="false"/>
                <w:bCs w:val="false"/>
                <w:color w:val="2C2C2C"/>
                <w:sz w:val="22"/>
                <w:szCs w:val="22"/>
              </w:rPr>
              <w:t xml:space="preserve">White space around key content reduces visual crowding and signals boundaries between ideas. Dense, unbroken text creates a perceptual burden before a single word is read.</w:t>
            </w:r>
          </w:p>
          <w:p>
            <w:pPr>
              <w:spacing w:after="0" w:before="80"/>
            </w:pPr>
          </w:p>
          <w:p>
            <w:pPr>
              <w:spacing w:after="80" w:before="240"/>
            </w:pPr>
            <w:r>
              <w:rPr>
                <w:rFonts w:ascii="Arial" w:cs="Arial" w:eastAsia="Arial" w:hAnsi="Arial"/>
                <w:b/>
                <w:bCs/>
                <w:color w:val="C97B00"/>
                <w:sz w:val="24"/>
                <w:szCs w:val="24"/>
              </w:rPr>
              <w:t xml:space="preserve">Highlighting</w:t>
            </w:r>
          </w:p>
          <w:p>
            <w:pPr>
              <w:spacing w:after="80" w:before="80"/>
            </w:pPr>
            <w:r>
              <w:rPr>
                <w:rFonts w:ascii="Arial" w:cs="Arial" w:eastAsia="Arial" w:hAnsi="Arial"/>
                <w:b w:val="false"/>
                <w:bCs w:val="false"/>
                <w:color w:val="2C2C2C"/>
                <w:sz w:val="22"/>
                <w:szCs w:val="22"/>
              </w:rPr>
              <w:t xml:space="preserve">Drawing attention to specific words or phrases — through color, weight, or contrast — allows a reader to scan a page and find what matters without reading every line. It externalizes the prioritization process.</w:t>
            </w:r>
          </w:p>
        </w:tc>
      </w:tr>
    </w:tbl>
    <w:p>
      <w:pPr>
        <w:spacing w:after="0" w:before="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76BC" w:sz="4"/>
              <w:left w:val="single" w:color="0076BC" w:sz="24"/>
              <w:bottom w:val="single" w:color="0076BC" w:sz="4"/>
              <w:right w:val="single" w:color="0076BC" w:sz="4"/>
            </w:tcBorders>
            <w:shd w:fill="E0F2FE" w:val="clear"/>
            <w:tcMar>
              <w:top w:type="dxa" w:w="160"/>
              <w:left w:type="dxa" w:w="240"/>
              <w:bottom w:type="dxa" w:w="160"/>
              <w:right w:type="dxa" w:w="240"/>
            </w:tcMar>
          </w:tcPr>
          <w:p>
            <w:pPr>
              <w:spacing w:after="60" w:before="0"/>
            </w:pPr>
            <w:r>
              <w:rPr>
                <w:rFonts w:ascii="Arial" w:cs="Arial" w:eastAsia="Arial" w:hAnsi="Arial"/>
                <w:b/>
                <w:bCs/>
                <w:color w:val="0076BC"/>
                <w:spacing w:val="80"/>
                <w:sz w:val="17"/>
                <w:szCs w:val="17"/>
              </w:rPr>
              <w:t xml:space="preserve">FROM RESEARCH TO PRODUCT</w:t>
            </w:r>
          </w:p>
          <w:p>
            <w:pPr>
              <w:spacing w:after="0" w:before="0"/>
            </w:pPr>
            <w:r>
              <w:rPr>
                <w:rFonts w:ascii="Arial" w:cs="Arial" w:eastAsia="Arial" w:hAnsi="Arial"/>
                <w:color w:val="2C2C2C"/>
                <w:sz w:val="22"/>
                <w:szCs w:val="22"/>
              </w:rPr>
              <w:t xml:space="preserve">Studies on color-coded note-taking systems show a 66% improvement in memory retention compared to unstructured text. Visual Edge applies the same logic that individual professionals already use — systematically, automatically, and at scale.</w:t>
            </w:r>
          </w:p>
        </w:tc>
      </w:tr>
    </w:tbl>
    <w:p>
      <w:pPr>
        <w:spacing w:after="0" w:before="120"/>
      </w:pPr>
    </w:p>
    <w:p>
      <w:pPr>
        <w:spacing w:after="80" w:before="80"/>
      </w:pPr>
      <w:r>
        <w:rPr>
          <w:rFonts w:ascii="Arial" w:cs="Arial" w:eastAsia="Arial" w:hAnsi="Arial"/>
          <w:b w:val="false"/>
          <w:bCs w:val="false"/>
          <w:color w:val="2C2C2C"/>
          <w:sz w:val="22"/>
          <w:szCs w:val="22"/>
        </w:rPr>
        <w:t xml:space="preserve">The research also confirmed something important about accessibility: these techniques are not optional enhancements. For neurodivergent users, aging staff, and anyone with visual processing differences, the format of information is the difference between comprehension and confusion. Visual hierarchy is not a nice-to-have — it is a cognitive accessibility tool.</w:t>
      </w:r>
    </w:p>
    <w:p>
      <w:pPr>
        <w:spacing w:after="0" w:before="200"/>
      </w:pPr>
    </w:p>
    <w:p>
      <w:r>
        <w:br w:type="page"/>
      </w:r>
    </w:p>
    <w:p>
      <w:pPr>
        <w:spacing w:after="60" w:before="280"/>
      </w:pPr>
      <w:r>
        <w:rPr>
          <w:rFonts w:ascii="Arial" w:cs="Arial" w:eastAsia="Arial" w:hAnsi="Arial"/>
          <w:b/>
          <w:bCs/>
          <w:color w:val="C8102E"/>
          <w:spacing w:val="80"/>
          <w:sz w:val="17"/>
          <w:szCs w:val="17"/>
        </w:rPr>
        <w:t xml:space="preserve">04 — SOLUTION OVERVIEW</w:t>
      </w:r>
    </w:p>
    <w:p>
      <w:pPr>
        <w:spacing w:after="160" w:before="0"/>
      </w:pPr>
      <w:r>
        <w:rPr>
          <w:rFonts w:ascii="Arial" w:cs="Arial" w:eastAsia="Arial" w:hAnsi="Arial"/>
          <w:b/>
          <w:bCs/>
          <w:color w:val="1B2A4A"/>
          <w:sz w:val="36"/>
          <w:szCs w:val="36"/>
        </w:rPr>
        <w:t xml:space="preserve">Visual Edge: A Human-Centered Information Prioritization System</w:t>
      </w:r>
    </w:p>
    <w:p>
      <w:pPr>
        <w:pBdr>
          <w:bottom w:val="single" w:color="C8102E" w:sz="12"/>
        </w:pBdr>
        <w:spacing w:after="100" w:before="100"/>
      </w:pPr>
    </w:p>
    <w:p>
      <w:pPr>
        <w:spacing w:after="0" w:before="120"/>
      </w:pPr>
    </w:p>
    <w:p>
      <w:pPr>
        <w:spacing w:after="80" w:before="80"/>
      </w:pPr>
      <w:r>
        <w:rPr>
          <w:rFonts w:ascii="Arial" w:cs="Arial" w:eastAsia="Arial" w:hAnsi="Arial"/>
          <w:b w:val="false"/>
          <w:bCs w:val="false"/>
          <w:color w:val="2C2C2C"/>
          <w:sz w:val="22"/>
          <w:szCs w:val="22"/>
        </w:rPr>
        <w:t xml:space="preserve">Visual Edge is not a summarization tool. It is not an AI that generates content or replaces human judgment. It is a cognitive formatting layer — a system that takes information that already exists and restructures it so that what matters most is impossible to miss.</w:t>
      </w:r>
    </w:p>
    <w:p>
      <w:pPr>
        <w:spacing w:after="0" w:before="80"/>
      </w:pPr>
    </w:p>
    <w:p>
      <w:pPr>
        <w:spacing w:after="80" w:before="80"/>
      </w:pPr>
      <w:r>
        <w:rPr>
          <w:rFonts w:ascii="Arial" w:cs="Arial" w:eastAsia="Arial" w:hAnsi="Arial"/>
          <w:b w:val="false"/>
          <w:bCs w:val="false"/>
          <w:color w:val="2C2C2C"/>
          <w:sz w:val="22"/>
          <w:szCs w:val="22"/>
        </w:rPr>
        <w:t xml:space="preserve">The goal is simple: help every person in the firm process information more effectively, with less effort, in less time, and with fewer errors — regardless of their role, their cognitive style, or their experience level.</w:t>
      </w:r>
    </w:p>
    <w:p>
      <w:pPr>
        <w:spacing w:after="0" w:before="120"/>
      </w:pPr>
    </w:p>
    <w:p>
      <w:pPr>
        <w:spacing w:after="0"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076BC" w:sz="24"/>
              <w:bottom w:val="none" w:color="FFFFFF" w:sz="0"/>
              <w:right w:val="none" w:color="FFFFFF" w:sz="0"/>
            </w:tcBorders>
            <w:shd w:fill="E0F2FE" w:val="clear"/>
            <w:tcMar>
              <w:top w:type="dxa" w:w="160"/>
              <w:left w:type="dxa" w:w="240"/>
              <w:bottom w:type="dxa" w:w="160"/>
              <w:right w:type="dxa" w:w="240"/>
            </w:tcMar>
          </w:tcPr>
          <w:p>
            <w:pPr>
              <w:spacing w:after="40" w:before="0"/>
            </w:pPr>
            <w:r>
              <w:rPr>
                <w:rFonts w:ascii="Arial" w:cs="Arial" w:eastAsia="Arial" w:hAnsi="Arial"/>
                <w:b/>
                <w:bCs/>
                <w:color w:val="0076BC"/>
                <w:spacing w:val="80"/>
                <w:sz w:val="16"/>
                <w:szCs w:val="16"/>
              </w:rPr>
              <w:t xml:space="preserve">PHASE 1</w:t>
            </w:r>
          </w:p>
          <w:p>
            <w:pPr>
              <w:spacing w:after="80" w:before="0"/>
            </w:pPr>
            <w:r>
              <w:rPr>
                <w:rFonts w:ascii="Arial" w:cs="Arial" w:eastAsia="Arial" w:hAnsi="Arial"/>
                <w:b/>
                <w:bCs/>
                <w:color w:val="1B2A4A"/>
                <w:sz w:val="28"/>
                <w:szCs w:val="28"/>
              </w:rPr>
              <w:t xml:space="preserve">Help Me See</w:t>
            </w:r>
          </w:p>
          <w:p>
            <w:pPr>
              <w:spacing w:after="0" w:before="0"/>
            </w:pPr>
            <w:r>
              <w:rPr>
                <w:rFonts w:ascii="Arial" w:cs="Arial" w:eastAsia="Arial" w:hAnsi="Arial"/>
                <w:color w:val="2C2C2C"/>
                <w:sz w:val="22"/>
                <w:szCs w:val="22"/>
              </w:rPr>
              <w:t xml:space="preserve">Adaptive readability, visual hierarchy, and personalized formatting that makes the important information jump off the page — automatically, for every document type.</w:t>
            </w:r>
          </w:p>
        </w:tc>
      </w:tr>
    </w:tbl>
    <w:p>
      <w:pPr>
        <w:spacing w:after="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7B00" w:sz="24"/>
              <w:bottom w:val="none" w:color="FFFFFF" w:sz="0"/>
              <w:right w:val="none" w:color="FFFFFF" w:sz="0"/>
            </w:tcBorders>
            <w:shd w:fill="FFF3CD" w:val="clear"/>
            <w:tcMar>
              <w:top w:type="dxa" w:w="160"/>
              <w:left w:type="dxa" w:w="240"/>
              <w:bottom w:type="dxa" w:w="160"/>
              <w:right w:type="dxa" w:w="240"/>
            </w:tcMar>
          </w:tcPr>
          <w:p>
            <w:pPr>
              <w:spacing w:after="40" w:before="0"/>
            </w:pPr>
            <w:r>
              <w:rPr>
                <w:rFonts w:ascii="Arial" w:cs="Arial" w:eastAsia="Arial" w:hAnsi="Arial"/>
                <w:b/>
                <w:bCs/>
                <w:color w:val="C97B00"/>
                <w:spacing w:val="80"/>
                <w:sz w:val="16"/>
                <w:szCs w:val="16"/>
              </w:rPr>
              <w:t xml:space="preserve">PHASE 2</w:t>
            </w:r>
          </w:p>
          <w:p>
            <w:pPr>
              <w:spacing w:after="80" w:before="0"/>
            </w:pPr>
            <w:r>
              <w:rPr>
                <w:rFonts w:ascii="Arial" w:cs="Arial" w:eastAsia="Arial" w:hAnsi="Arial"/>
                <w:b/>
                <w:bCs/>
                <w:color w:val="1B2A4A"/>
                <w:sz w:val="28"/>
                <w:szCs w:val="28"/>
              </w:rPr>
              <w:t xml:space="preserve">Help Me Prioritize</w:t>
            </w:r>
          </w:p>
          <w:p>
            <w:pPr>
              <w:spacing w:after="0" w:before="0"/>
            </w:pPr>
            <w:r>
              <w:rPr>
                <w:rFonts w:ascii="Arial" w:cs="Arial" w:eastAsia="Arial" w:hAnsi="Arial"/>
                <w:color w:val="2C2C2C"/>
                <w:sz w:val="22"/>
                <w:szCs w:val="22"/>
              </w:rPr>
              <w:t xml:space="preserve">Context-aware workflow intelligence that connects your calendar to your inbox, detects what is relevant to you right now, and surfaces it without digging.</w:t>
            </w:r>
          </w:p>
        </w:tc>
      </w:tr>
    </w:tbl>
    <w:p>
      <w:pPr>
        <w:spacing w:after="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8102E" w:sz="24"/>
              <w:bottom w:val="none" w:color="FFFFFF" w:sz="0"/>
              <w:right w:val="none" w:color="FFFFFF" w:sz="0"/>
            </w:tcBorders>
            <w:shd w:fill="FEE2E2" w:val="clear"/>
            <w:tcMar>
              <w:top w:type="dxa" w:w="160"/>
              <w:left w:type="dxa" w:w="240"/>
              <w:bottom w:type="dxa" w:w="160"/>
              <w:right w:type="dxa" w:w="240"/>
            </w:tcMar>
          </w:tcPr>
          <w:p>
            <w:pPr>
              <w:spacing w:after="40" w:before="0"/>
            </w:pPr>
            <w:r>
              <w:rPr>
                <w:rFonts w:ascii="Arial" w:cs="Arial" w:eastAsia="Arial" w:hAnsi="Arial"/>
                <w:b/>
                <w:bCs/>
                <w:color w:val="C8102E"/>
                <w:spacing w:val="80"/>
                <w:sz w:val="16"/>
                <w:szCs w:val="16"/>
              </w:rPr>
              <w:t xml:space="preserve">PHASE 3</w:t>
            </w:r>
          </w:p>
          <w:p>
            <w:pPr>
              <w:spacing w:after="80" w:before="0"/>
            </w:pPr>
            <w:r>
              <w:rPr>
                <w:rFonts w:ascii="Arial" w:cs="Arial" w:eastAsia="Arial" w:hAnsi="Arial"/>
                <w:b/>
                <w:bCs/>
                <w:color w:val="1B2A4A"/>
                <w:sz w:val="28"/>
                <w:szCs w:val="28"/>
              </w:rPr>
              <w:t xml:space="preserve">Help Me Remember</w:t>
            </w:r>
          </w:p>
          <w:p>
            <w:pPr>
              <w:spacing w:after="0" w:before="0"/>
            </w:pPr>
            <w:r>
              <w:rPr>
                <w:rFonts w:ascii="Arial" w:cs="Arial" w:eastAsia="Arial" w:hAnsi="Arial"/>
                <w:color w:val="2C2C2C"/>
                <w:sz w:val="22"/>
                <w:szCs w:val="22"/>
              </w:rPr>
              <w:t xml:space="preserve">Institutional memory that learns preferences, patterns, and history — so the knowledge that currently lives in one person's head is preserved, searchable, and shareable.</w:t>
            </w:r>
          </w:p>
        </w:tc>
      </w:tr>
    </w:tbl>
    <w:p>
      <w:pPr>
        <w:spacing w:after="0" w:before="80"/>
      </w:pPr>
    </w:p>
    <w:p>
      <w:pPr>
        <w:spacing w:after="0" w:before="120"/>
      </w:pPr>
    </w:p>
    <w:p>
      <w:pPr>
        <w:spacing w:after="80" w:before="80"/>
      </w:pPr>
      <w:r>
        <w:rPr>
          <w:rFonts w:ascii="Arial" w:cs="Arial" w:eastAsia="Arial" w:hAnsi="Arial"/>
          <w:b w:val="false"/>
          <w:bCs w:val="false"/>
          <w:color w:val="2C2C2C"/>
          <w:sz w:val="22"/>
          <w:szCs w:val="22"/>
        </w:rPr>
        <w:t xml:space="preserve">Each phase is valuable on its own. Together, they represent a fundamentally different relationship between professionals and the information they work with every day.</w:t>
      </w:r>
    </w:p>
    <w:p>
      <w:pPr>
        <w:spacing w:after="0" w:before="200"/>
      </w:pPr>
    </w:p>
    <w:p>
      <w:r>
        <w:br w:type="page"/>
      </w:r>
    </w:p>
    <w:p>
      <w:pPr>
        <w:spacing w:after="60" w:before="280"/>
      </w:pPr>
      <w:r>
        <w:rPr>
          <w:rFonts w:ascii="Arial" w:cs="Arial" w:eastAsia="Arial" w:hAnsi="Arial"/>
          <w:b/>
          <w:bCs/>
          <w:color w:val="C8102E"/>
          <w:spacing w:val="80"/>
          <w:sz w:val="17"/>
          <w:szCs w:val="17"/>
        </w:rPr>
        <w:t xml:space="preserve">05 — PRODUCT ROADMAP</w:t>
      </w:r>
    </w:p>
    <w:p>
      <w:pPr>
        <w:spacing w:after="160" w:before="0"/>
      </w:pPr>
      <w:r>
        <w:rPr>
          <w:rFonts w:ascii="Arial" w:cs="Arial" w:eastAsia="Arial" w:hAnsi="Arial"/>
          <w:b/>
          <w:bCs/>
          <w:color w:val="1B2A4A"/>
          <w:sz w:val="36"/>
          <w:szCs w:val="36"/>
        </w:rPr>
        <w:t xml:space="preserve">Three Phases. Each Builds on the Last.</w:t>
      </w:r>
    </w:p>
    <w:p>
      <w:pPr>
        <w:pBdr>
          <w:bottom w:val="single" w:color="C8102E" w:sz="12"/>
        </w:pBdr>
        <w:spacing w:after="100" w:before="100"/>
      </w:pPr>
    </w:p>
    <w:p>
      <w:pPr>
        <w:spacing w:after="0" w:before="120"/>
      </w:pPr>
    </w:p>
    <w:p>
      <w:pPr>
        <w:spacing w:after="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00"/>
        <w:gridCol w:w="8460"/>
      </w:tblGrid>
      <w:tr>
        <w:tc>
          <w:tcPr>
            <w:tcW w:type="dxa" w:w="900"/>
            <w:tcBorders>
              <w:top w:val="none" w:color="FFFFFF" w:sz="0"/>
              <w:left w:val="none" w:color="FFFFFF" w:sz="0"/>
              <w:bottom w:val="none" w:color="FFFFFF" w:sz="0"/>
              <w:right w:val="none" w:color="FFFFFF" w:sz="0"/>
            </w:tcBorders>
            <w:shd w:fill="0076BC" w:val="clear"/>
            <w:tcMar>
              <w:top w:type="dxa" w:w="160"/>
              <w:left w:type="dxa" w:w="160"/>
              <w:bottom w:type="dxa" w:w="160"/>
              <w:right w:type="dxa" w:w="160"/>
            </w:tcMar>
            <w:vAlign w:val="center"/>
          </w:tcPr>
          <w:p>
            <w:pPr>
              <w:jc w:val="center"/>
            </w:pPr>
            <w:r>
              <w:rPr>
                <w:rFonts w:ascii="Arial" w:cs="Arial" w:eastAsia="Arial" w:hAnsi="Arial"/>
                <w:b/>
                <w:bCs/>
                <w:color w:val="FFFFFF"/>
                <w:sz w:val="48"/>
                <w:szCs w:val="48"/>
              </w:rPr>
              <w:t xml:space="preserve">1</w:t>
            </w:r>
          </w:p>
        </w:tc>
        <w:tc>
          <w:tcPr>
            <w:tcW w:type="dxa" w:w="8460"/>
            <w:tcBorders>
              <w:top w:val="none" w:color="FFFFFF" w:sz="0"/>
              <w:left w:val="single" w:color="0076BC" w:sz="12"/>
              <w:bottom w:val="none" w:color="FFFFFF" w:sz="0"/>
              <w:right w:val="none" w:color="FFFFFF" w:sz="0"/>
            </w:tcBorders>
            <w:shd w:fill="F8F9FA" w:val="clear"/>
            <w:tcMar>
              <w:top w:type="dxa" w:w="160"/>
              <w:left w:type="dxa" w:w="240"/>
              <w:bottom w:type="dxa" w:w="160"/>
              <w:right w:type="dxa" w:w="240"/>
            </w:tcMar>
          </w:tcPr>
          <w:p>
            <w:pPr>
              <w:spacing w:after="80" w:before="0"/>
            </w:pPr>
            <w:r>
              <w:rPr>
                <w:rFonts w:ascii="Arial" w:cs="Arial" w:eastAsia="Arial" w:hAnsi="Arial"/>
                <w:b/>
                <w:bCs/>
                <w:color w:val="1B2A4A"/>
                <w:sz w:val="26"/>
                <w:szCs w:val="26"/>
              </w:rPr>
              <w:t xml:space="preserve">Phase 1 — Help Me See</w:t>
            </w:r>
          </w:p>
          <w:p>
            <w:pPr>
              <w:spacing w:after="120" w:before="0"/>
            </w:pPr>
            <w:r>
              <w:rPr>
                <w:rFonts w:ascii="Arial" w:cs="Arial" w:eastAsia="Arial" w:hAnsi="Arial"/>
                <w:color w:val="5F636A"/>
                <w:sz w:val="20"/>
                <w:szCs w:val="20"/>
              </w:rPr>
              <w:t xml:space="preserve">Signal Over Noise: Adaptive readability &amp; visual prioritization</w:t>
            </w:r>
          </w:p>
          <w:p>
            <w:pPr>
              <w:pStyle w:val="ListParagraph"/>
              <w:numPr>
                <w:ilvl w:val="0"/>
                <w:numId w:val="2"/>
              </w:numPr>
              <w:spacing w:after="40" w:before="40"/>
            </w:pPr>
            <w:r>
              <w:rPr>
                <w:rFonts w:ascii="Arial" w:cs="Arial" w:eastAsia="Arial" w:hAnsi="Arial"/>
                <w:color w:val="2C2C2C"/>
                <w:sz w:val="20"/>
                <w:szCs w:val="20"/>
              </w:rPr>
              <w:t xml:space="preserve">Scan dense legal documents, inboxes, and transcripts for deadlines, action items, and key content</w:t>
            </w:r>
          </w:p>
          <w:p>
            <w:pPr>
              <w:pStyle w:val="ListParagraph"/>
              <w:numPr>
                <w:ilvl w:val="0"/>
                <w:numId w:val="2"/>
              </w:numPr>
              <w:spacing w:after="40" w:before="40"/>
            </w:pPr>
            <w:r>
              <w:rPr>
                <w:rFonts w:ascii="Arial" w:cs="Arial" w:eastAsia="Arial" w:hAnsi="Arial"/>
                <w:color w:val="2C2C2C"/>
                <w:sz w:val="20"/>
                <w:szCs w:val="20"/>
              </w:rPr>
              <w:t xml:space="preserve">Apply adaptive visual hierarchy: color-coded urgency, bolded key phrases, structured layout</w:t>
            </w:r>
          </w:p>
          <w:p>
            <w:pPr>
              <w:pStyle w:val="ListParagraph"/>
              <w:numPr>
                <w:ilvl w:val="0"/>
                <w:numId w:val="2"/>
              </w:numPr>
              <w:spacing w:after="40" w:before="40"/>
            </w:pPr>
            <w:r>
              <w:rPr>
                <w:rFonts w:ascii="Arial" w:cs="Arial" w:eastAsia="Arial" w:hAnsi="Arial"/>
                <w:color w:val="2C2C2C"/>
                <w:sz w:val="20"/>
                <w:szCs w:val="20"/>
              </w:rPr>
              <w:t xml:space="preserve">Personalized formatting preferences — each user configures their own display: font size, contrast, highlight style, spacing</w:t>
            </w:r>
          </w:p>
          <w:p>
            <w:pPr>
              <w:pStyle w:val="ListParagraph"/>
              <w:numPr>
                <w:ilvl w:val="0"/>
                <w:numId w:val="2"/>
              </w:numPr>
              <w:spacing w:after="40" w:before="40"/>
            </w:pPr>
            <w:r>
              <w:rPr>
                <w:rFonts w:ascii="Arial" w:cs="Arial" w:eastAsia="Arial" w:hAnsi="Arial"/>
                <w:color w:val="2C2C2C"/>
                <w:sz w:val="20"/>
                <w:szCs w:val="20"/>
              </w:rPr>
              <w:t xml:space="preserve">Full accessibility support: high contrast, neon highlights, all-caps deadlines, wider spacing for neurodivergent and aging users</w:t>
            </w:r>
          </w:p>
          <w:p>
            <w:pPr>
              <w:pStyle w:val="ListParagraph"/>
              <w:numPr>
                <w:ilvl w:val="0"/>
                <w:numId w:val="2"/>
              </w:numPr>
              <w:spacing w:after="40" w:before="40"/>
            </w:pPr>
            <w:r>
              <w:rPr>
                <w:rFonts w:ascii="Arial" w:cs="Arial" w:eastAsia="Arial" w:hAnsi="Arial"/>
                <w:color w:val="2C2C2C"/>
                <w:sz w:val="20"/>
                <w:szCs w:val="20"/>
              </w:rPr>
              <w:t xml:space="preserve">Learns what each user considers important — building the preference profile that informs Phase 2</w:t>
            </w:r>
          </w:p>
          <w:p>
            <w:pPr>
              <w:pStyle w:val="ListParagraph"/>
              <w:numPr>
                <w:ilvl w:val="0"/>
                <w:numId w:val="2"/>
              </w:numPr>
              <w:spacing w:after="40" w:before="40"/>
            </w:pPr>
            <w:r>
              <w:rPr>
                <w:rFonts w:ascii="Arial" w:cs="Arial" w:eastAsia="Arial" w:hAnsi="Arial"/>
                <w:color w:val="2C2C2C"/>
                <w:sz w:val="20"/>
                <w:szCs w:val="20"/>
              </w:rPr>
              <w:t xml:space="preserve">Runs on Harvey AI — zero new tools, no new approvals, pilot-ready immediately</w:t>
            </w:r>
          </w:p>
          <w:p>
            <w:pPr>
              <w:pStyle w:val="ListParagraph"/>
              <w:numPr>
                <w:ilvl w:val="0"/>
                <w:numId w:val="2"/>
              </w:numPr>
              <w:spacing w:after="40" w:before="40"/>
            </w:pPr>
            <w:r>
              <w:rPr>
                <w:rFonts w:ascii="Arial" w:cs="Arial" w:eastAsia="Arial" w:hAnsi="Arial"/>
                <w:color w:val="2C2C2C"/>
                <w:sz w:val="20"/>
                <w:szCs w:val="20"/>
              </w:rPr>
              <w:t xml:space="preserve">Use cases: legal pleadings, discovery documents, policy memos, meeting transcripts, email threads, calendars</w:t>
            </w:r>
          </w:p>
        </w:tc>
      </w:tr>
    </w:tbl>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00"/>
        <w:gridCol w:w="8460"/>
      </w:tblGrid>
      <w:tr>
        <w:tc>
          <w:tcPr>
            <w:tcW w:type="dxa" w:w="900"/>
            <w:tcBorders>
              <w:top w:val="none" w:color="FFFFFF" w:sz="0"/>
              <w:left w:val="none" w:color="FFFFFF" w:sz="0"/>
              <w:bottom w:val="none" w:color="FFFFFF" w:sz="0"/>
              <w:right w:val="none" w:color="FFFFFF" w:sz="0"/>
            </w:tcBorders>
            <w:shd w:fill="C97B00" w:val="clear"/>
            <w:tcMar>
              <w:top w:type="dxa" w:w="160"/>
              <w:left w:type="dxa" w:w="160"/>
              <w:bottom w:type="dxa" w:w="160"/>
              <w:right w:type="dxa" w:w="160"/>
            </w:tcMar>
            <w:vAlign w:val="center"/>
          </w:tcPr>
          <w:p>
            <w:pPr>
              <w:jc w:val="center"/>
            </w:pPr>
            <w:r>
              <w:rPr>
                <w:rFonts w:ascii="Arial" w:cs="Arial" w:eastAsia="Arial" w:hAnsi="Arial"/>
                <w:b/>
                <w:bCs/>
                <w:color w:val="FFFFFF"/>
                <w:sz w:val="48"/>
                <w:szCs w:val="48"/>
              </w:rPr>
              <w:t xml:space="preserve">2</w:t>
            </w:r>
          </w:p>
        </w:tc>
        <w:tc>
          <w:tcPr>
            <w:tcW w:type="dxa" w:w="8460"/>
            <w:tcBorders>
              <w:top w:val="none" w:color="FFFFFF" w:sz="0"/>
              <w:left w:val="single" w:color="C97B00" w:sz="12"/>
              <w:bottom w:val="none" w:color="FFFFFF" w:sz="0"/>
              <w:right w:val="none" w:color="FFFFFF" w:sz="0"/>
            </w:tcBorders>
            <w:shd w:fill="F8F9FA" w:val="clear"/>
            <w:tcMar>
              <w:top w:type="dxa" w:w="160"/>
              <w:left w:type="dxa" w:w="240"/>
              <w:bottom w:type="dxa" w:w="160"/>
              <w:right w:type="dxa" w:w="240"/>
            </w:tcMar>
          </w:tcPr>
          <w:p>
            <w:pPr>
              <w:spacing w:after="80" w:before="0"/>
            </w:pPr>
            <w:r>
              <w:rPr>
                <w:rFonts w:ascii="Arial" w:cs="Arial" w:eastAsia="Arial" w:hAnsi="Arial"/>
                <w:b/>
                <w:bCs/>
                <w:color w:val="1B2A4A"/>
                <w:sz w:val="26"/>
                <w:szCs w:val="26"/>
              </w:rPr>
              <w:t xml:space="preserve">Phase 2 — Help Me Prioritize</w:t>
            </w:r>
          </w:p>
          <w:p>
            <w:pPr>
              <w:spacing w:after="120" w:before="0"/>
            </w:pPr>
            <w:r>
              <w:rPr>
                <w:rFonts w:ascii="Arial" w:cs="Arial" w:eastAsia="Arial" w:hAnsi="Arial"/>
                <w:color w:val="5F636A"/>
                <w:sz w:val="20"/>
                <w:szCs w:val="20"/>
              </w:rPr>
              <w:t xml:space="preserve">What Matters Most: Context-aware workflow intelligence</w:t>
            </w:r>
          </w:p>
          <w:p>
            <w:pPr>
              <w:pStyle w:val="ListParagraph"/>
              <w:numPr>
                <w:ilvl w:val="0"/>
                <w:numId w:val="2"/>
              </w:numPr>
              <w:spacing w:after="40" w:before="40"/>
            </w:pPr>
            <w:r>
              <w:rPr>
                <w:rFonts w:ascii="Arial" w:cs="Arial" w:eastAsia="Arial" w:hAnsi="Arial"/>
                <w:color w:val="2C2C2C"/>
                <w:sz w:val="20"/>
                <w:szCs w:val="20"/>
              </w:rPr>
              <w:t xml:space="preserve">Detects assignments buried in calendar location/details fields — surfaces them with visual badges, no hover required</w:t>
            </w:r>
          </w:p>
          <w:p>
            <w:pPr>
              <w:pStyle w:val="ListParagraph"/>
              <w:numPr>
                <w:ilvl w:val="0"/>
                <w:numId w:val="2"/>
              </w:numPr>
              <w:spacing w:after="40" w:before="40"/>
            </w:pPr>
            <w:r>
              <w:rPr>
                <w:rFonts w:ascii="Arial" w:cs="Arial" w:eastAsia="Arial" w:hAnsi="Arial"/>
                <w:color w:val="2C2C2C"/>
                <w:sz w:val="20"/>
                <w:szCs w:val="20"/>
              </w:rPr>
              <w:t xml:space="preserve">Links inbox emails to calendar meetings: PPTs, recording requests, attendee updates, deadline changes appear on the relevant event</w:t>
            </w:r>
          </w:p>
          <w:p>
            <w:pPr>
              <w:pStyle w:val="ListParagraph"/>
              <w:numPr>
                <w:ilvl w:val="0"/>
                <w:numId w:val="2"/>
              </w:numPr>
              <w:spacing w:after="40" w:before="40"/>
            </w:pPr>
            <w:r>
              <w:rPr>
                <w:rFonts w:ascii="Arial" w:cs="Arial" w:eastAsia="Arial" w:hAnsi="Arial"/>
                <w:color w:val="2C2C2C"/>
                <w:sz w:val="20"/>
                <w:szCs w:val="20"/>
              </w:rPr>
              <w:t xml:space="preserve">Works for any shared calendar user — AV coordinators, conference services, litigation support, legal assistants, BD, administrative staff</w:t>
            </w:r>
          </w:p>
          <w:p>
            <w:pPr>
              <w:pStyle w:val="ListParagraph"/>
              <w:numPr>
                <w:ilvl w:val="0"/>
                <w:numId w:val="2"/>
              </w:numPr>
              <w:spacing w:after="40" w:before="40"/>
            </w:pPr>
            <w:r>
              <w:rPr>
                <w:rFonts w:ascii="Arial" w:cs="Arial" w:eastAsia="Arial" w:hAnsi="Arial"/>
                <w:color w:val="2C2C2C"/>
                <w:sz w:val="20"/>
                <w:szCs w:val="20"/>
              </w:rPr>
              <w:t xml:space="preserve">Filters inbox by workflow relevance: what arrived matters more because of what is happening today</w:t>
            </w:r>
          </w:p>
          <w:p>
            <w:pPr>
              <w:pStyle w:val="ListParagraph"/>
              <w:numPr>
                <w:ilvl w:val="0"/>
                <w:numId w:val="2"/>
              </w:numPr>
              <w:spacing w:after="40" w:before="40"/>
            </w:pPr>
            <w:r>
              <w:rPr>
                <w:rFonts w:ascii="Arial" w:cs="Arial" w:eastAsia="Arial" w:hAnsi="Arial"/>
                <w:color w:val="2C2C2C"/>
                <w:sz w:val="20"/>
                <w:szCs w:val="20"/>
              </w:rPr>
              <w:t xml:space="preserve">Proactive alerts — the system comes to you, rather than requiring you to hunt</w:t>
            </w:r>
          </w:p>
          <w:p>
            <w:pPr>
              <w:pStyle w:val="ListParagraph"/>
              <w:numPr>
                <w:ilvl w:val="0"/>
                <w:numId w:val="2"/>
              </w:numPr>
              <w:spacing w:after="40" w:before="40"/>
            </w:pPr>
            <w:r>
              <w:rPr>
                <w:rFonts w:ascii="Arial" w:cs="Arial" w:eastAsia="Arial" w:hAnsi="Arial"/>
                <w:color w:val="2C2C2C"/>
                <w:sz w:val="20"/>
                <w:szCs w:val="20"/>
              </w:rPr>
              <w:t xml:space="preserve">Runs on Microsoft Copilot — already in every Outlook account, data never leaves Microsoft's environment</w:t>
            </w:r>
          </w:p>
          <w:p>
            <w:pPr>
              <w:pStyle w:val="ListParagraph"/>
              <w:numPr>
                <w:ilvl w:val="0"/>
                <w:numId w:val="2"/>
              </w:numPr>
              <w:spacing w:after="40" w:before="40"/>
            </w:pPr>
            <w:r>
              <w:rPr>
                <w:rFonts w:ascii="Arial" w:cs="Arial" w:eastAsia="Arial" w:hAnsi="Arial"/>
                <w:color w:val="2C2C2C"/>
                <w:sz w:val="20"/>
                <w:szCs w:val="20"/>
              </w:rPr>
              <w:t xml:space="preserve">Use cases: shared calendar management, meeting prep, inbox triage, deadline awareness, cross-platform context</w:t>
            </w:r>
          </w:p>
        </w:tc>
      </w:tr>
    </w:tbl>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00"/>
        <w:gridCol w:w="8460"/>
      </w:tblGrid>
      <w:tr>
        <w:tc>
          <w:tcPr>
            <w:tcW w:type="dxa" w:w="900"/>
            <w:tcBorders>
              <w:top w:val="none" w:color="FFFFFF" w:sz="0"/>
              <w:left w:val="none" w:color="FFFFFF" w:sz="0"/>
              <w:bottom w:val="none" w:color="FFFFFF" w:sz="0"/>
              <w:right w:val="none" w:color="FFFFFF" w:sz="0"/>
            </w:tcBorders>
            <w:shd w:fill="C8102E" w:val="clear"/>
            <w:tcMar>
              <w:top w:type="dxa" w:w="160"/>
              <w:left w:type="dxa" w:w="160"/>
              <w:bottom w:type="dxa" w:w="160"/>
              <w:right w:type="dxa" w:w="160"/>
            </w:tcMar>
            <w:vAlign w:val="center"/>
          </w:tcPr>
          <w:p>
            <w:pPr>
              <w:jc w:val="center"/>
            </w:pPr>
            <w:r>
              <w:rPr>
                <w:rFonts w:ascii="Arial" w:cs="Arial" w:eastAsia="Arial" w:hAnsi="Arial"/>
                <w:b/>
                <w:bCs/>
                <w:color w:val="FFFFFF"/>
                <w:sz w:val="48"/>
                <w:szCs w:val="48"/>
              </w:rPr>
              <w:t xml:space="preserve">3</w:t>
            </w:r>
          </w:p>
        </w:tc>
        <w:tc>
          <w:tcPr>
            <w:tcW w:type="dxa" w:w="8460"/>
            <w:tcBorders>
              <w:top w:val="none" w:color="FFFFFF" w:sz="0"/>
              <w:left w:val="single" w:color="C8102E" w:sz="12"/>
              <w:bottom w:val="none" w:color="FFFFFF" w:sz="0"/>
              <w:right w:val="none" w:color="FFFFFF" w:sz="0"/>
            </w:tcBorders>
            <w:shd w:fill="F8F9FA" w:val="clear"/>
            <w:tcMar>
              <w:top w:type="dxa" w:w="160"/>
              <w:left w:type="dxa" w:w="240"/>
              <w:bottom w:type="dxa" w:w="160"/>
              <w:right w:type="dxa" w:w="240"/>
            </w:tcMar>
          </w:tcPr>
          <w:p>
            <w:pPr>
              <w:spacing w:after="80" w:before="0"/>
            </w:pPr>
            <w:r>
              <w:rPr>
                <w:rFonts w:ascii="Arial" w:cs="Arial" w:eastAsia="Arial" w:hAnsi="Arial"/>
                <w:b/>
                <w:bCs/>
                <w:color w:val="1B2A4A"/>
                <w:sz w:val="26"/>
                <w:szCs w:val="26"/>
              </w:rPr>
              <w:t xml:space="preserve">Phase 3 — Help Me Remember</w:t>
            </w:r>
          </w:p>
          <w:p>
            <w:pPr>
              <w:spacing w:after="120" w:before="0"/>
            </w:pPr>
            <w:r>
              <w:rPr>
                <w:rFonts w:ascii="Arial" w:cs="Arial" w:eastAsia="Arial" w:hAnsi="Arial"/>
                <w:color w:val="5F636A"/>
                <w:sz w:val="20"/>
                <w:szCs w:val="20"/>
              </w:rPr>
              <w:t xml:space="preserve">Memory in Motion: Institutional continuity &amp; preference learning</w:t>
            </w:r>
          </w:p>
          <w:p>
            <w:pPr>
              <w:pStyle w:val="ListParagraph"/>
              <w:numPr>
                <w:ilvl w:val="0"/>
                <w:numId w:val="2"/>
              </w:numPr>
              <w:spacing w:after="40" w:before="40"/>
            </w:pPr>
            <w:r>
              <w:rPr>
                <w:rFonts w:ascii="Arial" w:cs="Arial" w:eastAsia="Arial" w:hAnsi="Arial"/>
                <w:color w:val="2C2C2C"/>
                <w:sz w:val="20"/>
                <w:szCs w:val="20"/>
              </w:rPr>
              <w:t xml:space="preserve">Builds operational profiles for every recurring organizer, room, and workflow — across every department</w:t>
            </w:r>
          </w:p>
          <w:p>
            <w:pPr>
              <w:pStyle w:val="ListParagraph"/>
              <w:numPr>
                <w:ilvl w:val="0"/>
                <w:numId w:val="2"/>
              </w:numPr>
              <w:spacing w:after="40" w:before="40"/>
            </w:pPr>
            <w:r>
              <w:rPr>
                <w:rFonts w:ascii="Arial" w:cs="Arial" w:eastAsia="Arial" w:hAnsi="Arial"/>
                <w:color w:val="2C2C2C"/>
                <w:sz w:val="20"/>
                <w:szCs w:val="20"/>
              </w:rPr>
              <w:t xml:space="preserve">AV: remembers preferred setup, room configuration, recording habits, recurring pain points</w:t>
            </w:r>
          </w:p>
          <w:p>
            <w:pPr>
              <w:pStyle w:val="ListParagraph"/>
              <w:numPr>
                <w:ilvl w:val="0"/>
                <w:numId w:val="2"/>
              </w:numPr>
              <w:spacing w:after="40" w:before="40"/>
            </w:pPr>
            <w:r>
              <w:rPr>
                <w:rFonts w:ascii="Arial" w:cs="Arial" w:eastAsia="Arial" w:hAnsi="Arial"/>
                <w:color w:val="2C2C2C"/>
                <w:sz w:val="20"/>
                <w:szCs w:val="20"/>
              </w:rPr>
              <w:t xml:space="preserve">Conference Services: remembers catering quirks, AV preferences, attendee patterns per organizer</w:t>
            </w:r>
          </w:p>
          <w:p>
            <w:pPr>
              <w:pStyle w:val="ListParagraph"/>
              <w:numPr>
                <w:ilvl w:val="0"/>
                <w:numId w:val="2"/>
              </w:numPr>
              <w:spacing w:after="40" w:before="40"/>
            </w:pPr>
            <w:r>
              <w:rPr>
                <w:rFonts w:ascii="Arial" w:cs="Arial" w:eastAsia="Arial" w:hAnsi="Arial"/>
                <w:color w:val="2C2C2C"/>
                <w:sz w:val="20"/>
                <w:szCs w:val="20"/>
              </w:rPr>
              <w:t xml:space="preserve">Business Development: remembers client-specific preferences, relationship context, communication style</w:t>
            </w:r>
          </w:p>
          <w:p>
            <w:pPr>
              <w:pStyle w:val="ListParagraph"/>
              <w:numPr>
                <w:ilvl w:val="0"/>
                <w:numId w:val="2"/>
              </w:numPr>
              <w:spacing w:after="40" w:before="40"/>
            </w:pPr>
            <w:r>
              <w:rPr>
                <w:rFonts w:ascii="Arial" w:cs="Arial" w:eastAsia="Arial" w:hAnsi="Arial"/>
                <w:color w:val="2C2C2C"/>
                <w:sz w:val="20"/>
                <w:szCs w:val="20"/>
              </w:rPr>
              <w:t xml:space="preserve">Legal Operations: remembers filing patterns, recurring deadlines, matter-specific preferences</w:t>
            </w:r>
          </w:p>
          <w:p>
            <w:pPr>
              <w:pStyle w:val="ListParagraph"/>
              <w:numPr>
                <w:ilvl w:val="0"/>
                <w:numId w:val="2"/>
              </w:numPr>
              <w:spacing w:after="40" w:before="40"/>
            </w:pPr>
            <w:r>
              <w:rPr>
                <w:rFonts w:ascii="Arial" w:cs="Arial" w:eastAsia="Arial" w:hAnsi="Arial"/>
                <w:color w:val="2C2C2C"/>
                <w:sz w:val="20"/>
                <w:szCs w:val="20"/>
              </w:rPr>
              <w:t xml:space="preserve">Surfaces pre-meeting checklists automatically — based on what worked last time</w:t>
            </w:r>
          </w:p>
          <w:p>
            <w:pPr>
              <w:pStyle w:val="ListParagraph"/>
              <w:numPr>
                <w:ilvl w:val="0"/>
                <w:numId w:val="2"/>
              </w:numPr>
              <w:spacing w:after="40" w:before="40"/>
            </w:pPr>
            <w:r>
              <w:rPr>
                <w:rFonts w:ascii="Arial" w:cs="Arial" w:eastAsia="Arial" w:hAnsi="Arial"/>
                <w:color w:val="2C2C2C"/>
                <w:sz w:val="20"/>
                <w:szCs w:val="20"/>
              </w:rPr>
              <w:t xml:space="preserve">Runs on Zoom AI Companion — already approved by the General Counsel's office</w:t>
            </w:r>
          </w:p>
          <w:p>
            <w:pPr>
              <w:pStyle w:val="ListParagraph"/>
              <w:numPr>
                <w:ilvl w:val="0"/>
                <w:numId w:val="2"/>
              </w:numPr>
              <w:spacing w:after="40" w:before="40"/>
            </w:pPr>
            <w:r>
              <w:rPr>
                <w:rFonts w:ascii="Arial" w:cs="Arial" w:eastAsia="Arial" w:hAnsi="Arial"/>
                <w:color w:val="2C2C2C"/>
                <w:sz w:val="20"/>
                <w:szCs w:val="20"/>
              </w:rPr>
              <w:t xml:space="preserve">Use cases: meeting planning, client intelligence, AV/CTS operational continuity, knowledge retention, team handoffs</w:t>
            </w:r>
          </w:p>
        </w:tc>
      </w:tr>
    </w:tbl>
    <w:p>
      <w:pPr>
        <w:spacing w:after="0" w:before="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2A4A" w:sz="4"/>
              <w:left w:val="single" w:color="1B2A4A" w:sz="24"/>
              <w:bottom w:val="single" w:color="1B2A4A" w:sz="4"/>
              <w:right w:val="single" w:color="1B2A4A" w:sz="4"/>
            </w:tcBorders>
            <w:shd w:fill="E8EDF5" w:val="clear"/>
            <w:tcMar>
              <w:top w:type="dxa" w:w="160"/>
              <w:left w:type="dxa" w:w="240"/>
              <w:bottom w:type="dxa" w:w="160"/>
              <w:right w:type="dxa" w:w="240"/>
            </w:tcMar>
          </w:tcPr>
          <w:p>
            <w:pPr>
              <w:spacing w:after="60" w:before="0"/>
            </w:pPr>
            <w:r>
              <w:rPr>
                <w:rFonts w:ascii="Arial" w:cs="Arial" w:eastAsia="Arial" w:hAnsi="Arial"/>
                <w:b/>
                <w:bCs/>
                <w:color w:val="1B2A4A"/>
                <w:spacing w:val="80"/>
                <w:sz w:val="17"/>
                <w:szCs w:val="17"/>
              </w:rPr>
              <w:t xml:space="preserve">ZERO NEW TOOLS</w:t>
            </w:r>
          </w:p>
          <w:p>
            <w:pPr>
              <w:spacing w:after="0" w:before="0"/>
            </w:pPr>
            <w:r>
              <w:rPr>
                <w:rFonts w:ascii="Arial" w:cs="Arial" w:eastAsia="Arial" w:hAnsi="Arial"/>
                <w:color w:val="2C2C2C"/>
                <w:sz w:val="22"/>
                <w:szCs w:val="22"/>
              </w:rPr>
              <w:t xml:space="preserve">Visual Edge introduces no new AI platforms, no new security reviews, and no new vendor relationships. Harvey AI, Microsoft Copilot, and Zoom AI Companion are already deployed, already approved, and already paid for. Visual Edge is the connective tissue between them.</w:t>
            </w:r>
          </w:p>
        </w:tc>
      </w:tr>
    </w:tbl>
    <w:p>
      <w:pPr>
        <w:spacing w:after="0" w:before="200"/>
      </w:pPr>
    </w:p>
    <w:p>
      <w:r>
        <w:br w:type="page"/>
      </w:r>
    </w:p>
    <w:p>
      <w:pPr>
        <w:spacing w:after="60" w:before="280"/>
      </w:pPr>
      <w:r>
        <w:rPr>
          <w:rFonts w:ascii="Arial" w:cs="Arial" w:eastAsia="Arial" w:hAnsi="Arial"/>
          <w:b/>
          <w:bCs/>
          <w:color w:val="C8102E"/>
          <w:spacing w:val="80"/>
          <w:sz w:val="17"/>
          <w:szCs w:val="17"/>
        </w:rPr>
        <w:t xml:space="preserve">06 — ACCESSIBILITY &amp; HUMAN-CENTERED DESIGN</w:t>
      </w:r>
    </w:p>
    <w:p>
      <w:pPr>
        <w:spacing w:after="160" w:before="0"/>
      </w:pPr>
      <w:r>
        <w:rPr>
          <w:rFonts w:ascii="Arial" w:cs="Arial" w:eastAsia="Arial" w:hAnsi="Arial"/>
          <w:b/>
          <w:bCs/>
          <w:color w:val="1B2A4A"/>
          <w:sz w:val="36"/>
          <w:szCs w:val="36"/>
        </w:rPr>
        <w:t xml:space="preserve">Designed for Every Brain, Every Role, Every Need</w:t>
      </w:r>
    </w:p>
    <w:p>
      <w:pPr>
        <w:pBdr>
          <w:bottom w:val="single" w:color="C8102E" w:sz="12"/>
        </w:pBdr>
        <w:spacing w:after="100" w:before="100"/>
      </w:pPr>
    </w:p>
    <w:p>
      <w:pPr>
        <w:spacing w:after="0" w:before="120"/>
      </w:pPr>
    </w:p>
    <w:p>
      <w:pPr>
        <w:spacing w:after="80" w:before="80"/>
      </w:pPr>
      <w:r>
        <w:rPr>
          <w:rFonts w:ascii="Arial" w:cs="Arial" w:eastAsia="Arial" w:hAnsi="Arial"/>
          <w:b w:val="false"/>
          <w:bCs w:val="false"/>
          <w:color w:val="2C2C2C"/>
          <w:sz w:val="22"/>
          <w:szCs w:val="22"/>
        </w:rPr>
        <w:t xml:space="preserve">Visual Edge was built with a foundational belief: the format of information is not neutral. How something is presented determines whether it is comprehensible — and for a significant portion of the workforce, the standard format is the barrier.</w:t>
      </w:r>
    </w:p>
    <w:p>
      <w:pPr>
        <w:spacing w:after="0" w:before="80"/>
      </w:pPr>
    </w:p>
    <w:p>
      <w:pPr>
        <w:spacing w:after="80" w:before="80"/>
      </w:pPr>
      <w:r>
        <w:rPr>
          <w:rFonts w:ascii="Arial" w:cs="Arial" w:eastAsia="Arial" w:hAnsi="Arial"/>
          <w:b w:val="false"/>
          <w:bCs w:val="false"/>
          <w:color w:val="2C2C2C"/>
          <w:sz w:val="22"/>
          <w:szCs w:val="22"/>
        </w:rPr>
        <w:t xml:space="preserve">This is not a small population. Neurodivergent professionals, staff with visual processing differences, aging employees whose reading needs evolve over time, and anyone working under high cognitive load — which is everyone, at peak pressure — all benefit from information that adapts to them rather than demanding they adapt to it.</w:t>
      </w:r>
    </w:p>
    <w:p>
      <w:pPr>
        <w:spacing w:after="0" w:before="120"/>
      </w:pPr>
    </w:p>
    <w:p>
      <w:pPr>
        <w:spacing w:after="80" w:before="240"/>
      </w:pPr>
      <w:r>
        <w:rPr>
          <w:rFonts w:ascii="Arial" w:cs="Arial" w:eastAsia="Arial" w:hAnsi="Arial"/>
          <w:b/>
          <w:bCs/>
          <w:color w:val="1B2A4A"/>
          <w:sz w:val="24"/>
          <w:szCs w:val="24"/>
        </w:rPr>
        <w:t xml:space="preserve">Adaptive Formatting Controls</w:t>
      </w:r>
    </w:p>
    <w:p>
      <w:pPr>
        <w:spacing w:after="80" w:before="80"/>
      </w:pPr>
      <w:r>
        <w:rPr>
          <w:rFonts w:ascii="Arial" w:cs="Arial" w:eastAsia="Arial" w:hAnsi="Arial"/>
          <w:b w:val="false"/>
          <w:bCs w:val="false"/>
          <w:color w:val="2C2C2C"/>
          <w:sz w:val="22"/>
          <w:szCs w:val="22"/>
        </w:rPr>
        <w:t xml:space="preserve">Visual Edge Phase 1 allows every user to configure their own display layer. This is not a settings panel hidden three menus deep — it is the core of the product. Users choose how their information is rendered:</w:t>
      </w:r>
    </w:p>
    <w:p>
      <w:pPr>
        <w:spacing w:after="0" w:before="60"/>
      </w:pPr>
    </w:p>
    <w:p>
      <w:pPr>
        <w:pStyle w:val="ListParagraph"/>
        <w:numPr>
          <w:ilvl w:val="0"/>
          <w:numId w:val="2"/>
        </w:numPr>
        <w:spacing w:after="60" w:before="60"/>
      </w:pPr>
      <w:r>
        <w:rPr>
          <w:rFonts w:ascii="Arial" w:cs="Arial" w:eastAsia="Arial" w:hAnsi="Arial"/>
          <w:color w:val="2C2C2C"/>
          <w:sz w:val="22"/>
          <w:szCs w:val="22"/>
        </w:rPr>
        <w:t xml:space="preserve">Font size and line spacing — for aging staff and visual accessibility</w:t>
      </w:r>
    </w:p>
    <w:p>
      <w:pPr>
        <w:pStyle w:val="ListParagraph"/>
        <w:numPr>
          <w:ilvl w:val="0"/>
          <w:numId w:val="2"/>
        </w:numPr>
        <w:spacing w:after="60" w:before="60"/>
      </w:pPr>
      <w:r>
        <w:rPr>
          <w:rFonts w:ascii="Arial" w:cs="Arial" w:eastAsia="Arial" w:hAnsi="Arial"/>
          <w:color w:val="2C2C2C"/>
          <w:sz w:val="22"/>
          <w:szCs w:val="22"/>
        </w:rPr>
        <w:t xml:space="preserve">Highlight color and intensity — neon, high-contrast, or subtle, depending on cognitive preference</w:t>
      </w:r>
    </w:p>
    <w:p>
      <w:pPr>
        <w:pStyle w:val="ListParagraph"/>
        <w:numPr>
          <w:ilvl w:val="0"/>
          <w:numId w:val="2"/>
        </w:numPr>
        <w:spacing w:after="60" w:before="60"/>
      </w:pPr>
      <w:r>
        <w:rPr>
          <w:rFonts w:ascii="Arial" w:cs="Arial" w:eastAsia="Arial" w:hAnsi="Arial"/>
          <w:color w:val="2C2C2C"/>
          <w:sz w:val="22"/>
          <w:szCs w:val="22"/>
        </w:rPr>
        <w:t xml:space="preserve">Text weight and capitalization — ALL CAPS deadlines for users who need visual urgency signals</w:t>
      </w:r>
    </w:p>
    <w:p>
      <w:pPr>
        <w:pStyle w:val="ListParagraph"/>
        <w:numPr>
          <w:ilvl w:val="0"/>
          <w:numId w:val="2"/>
        </w:numPr>
        <w:spacing w:after="60" w:before="60"/>
      </w:pPr>
      <w:r>
        <w:rPr>
          <w:rFonts w:ascii="Arial" w:cs="Arial" w:eastAsia="Arial" w:hAnsi="Arial"/>
          <w:color w:val="2C2C2C"/>
          <w:sz w:val="22"/>
          <w:szCs w:val="22"/>
        </w:rPr>
        <w:t xml:space="preserve">Color palette — accessible color combinations for users with color vision differences</w:t>
      </w:r>
    </w:p>
    <w:p>
      <w:pPr>
        <w:pStyle w:val="ListParagraph"/>
        <w:numPr>
          <w:ilvl w:val="0"/>
          <w:numId w:val="2"/>
        </w:numPr>
        <w:spacing w:after="60" w:before="60"/>
      </w:pPr>
      <w:r>
        <w:rPr>
          <w:rFonts w:ascii="Arial" w:cs="Arial" w:eastAsia="Arial" w:hAnsi="Arial"/>
          <w:color w:val="2C2C2C"/>
          <w:sz w:val="22"/>
          <w:szCs w:val="22"/>
        </w:rPr>
        <w:t xml:space="preserve">Information density — compact for experienced users, expanded with more context for those who prefer it</w:t>
      </w:r>
    </w:p>
    <w:p>
      <w:pPr>
        <w:pStyle w:val="ListParagraph"/>
        <w:numPr>
          <w:ilvl w:val="0"/>
          <w:numId w:val="2"/>
        </w:numPr>
        <w:spacing w:after="60" w:before="60"/>
      </w:pPr>
      <w:r>
        <w:rPr>
          <w:rFonts w:ascii="Arial" w:cs="Arial" w:eastAsia="Arial" w:hAnsi="Arial"/>
          <w:color w:val="2C2C2C"/>
          <w:sz w:val="22"/>
          <w:szCs w:val="22"/>
        </w:rPr>
        <w:t xml:space="preserve">Alert style — inline badges, sidebar flags, or full-screen overlays based on preference</w:t>
      </w:r>
    </w:p>
    <w:p>
      <w:pPr>
        <w:spacing w:after="0" w:before="120"/>
      </w:pPr>
    </w:p>
    <w:p>
      <w:pPr>
        <w:pBdr>
          <w:left w:val="single" w:color="C8102E" w:sz="24"/>
        </w:pBdr>
        <w:spacing w:after="240" w:before="240"/>
        <w:ind w:left="480" w:right="480"/>
      </w:pPr>
      <w:r>
        <w:rPr>
          <w:rFonts w:ascii="Arial" w:cs="Arial" w:eastAsia="Arial" w:hAnsi="Arial"/>
          <w:b/>
          <w:bCs/>
          <w:color w:val="1B2A4A"/>
          <w:sz w:val="28"/>
          <w:szCs w:val="28"/>
        </w:rPr>
        <w:t xml:space="preserve">Same document. Same information. Completely different rendering — calibrated to how each person's brain processes best.</w:t>
      </w:r>
    </w:p>
    <w:p>
      <w:pPr>
        <w:spacing w:after="0" w:before="120"/>
      </w:pPr>
    </w:p>
    <w:p>
      <w:pPr>
        <w:spacing w:after="80" w:before="240"/>
      </w:pPr>
      <w:r>
        <w:rPr>
          <w:rFonts w:ascii="Arial" w:cs="Arial" w:eastAsia="Arial" w:hAnsi="Arial"/>
          <w:b/>
          <w:bCs/>
          <w:color w:val="1B2A4A"/>
          <w:sz w:val="24"/>
          <w:szCs w:val="24"/>
        </w:rPr>
        <w:t xml:space="preserve">Why This Matters for the Firm</w:t>
      </w:r>
    </w:p>
    <w:p>
      <w:pPr>
        <w:spacing w:after="80" w:before="80"/>
      </w:pPr>
      <w:r>
        <w:rPr>
          <w:rFonts w:ascii="Arial" w:cs="Arial" w:eastAsia="Arial" w:hAnsi="Arial"/>
          <w:b w:val="false"/>
          <w:bCs w:val="false"/>
          <w:color w:val="2C2C2C"/>
          <w:sz w:val="22"/>
          <w:szCs w:val="22"/>
        </w:rPr>
        <w:t xml:space="preserve">Accessibility is not a compliance checkbox. It is a performance strategy. When information is presented in a format that works for every person on a team, the entire team performs better. Missed deadlines decrease. Errors decrease. The cognitive burden of parsing dense text before you can act on it decreases.</w:t>
      </w:r>
    </w:p>
    <w:p>
      <w:pPr>
        <w:spacing w:after="0" w:before="80"/>
      </w:pPr>
    </w:p>
    <w:p>
      <w:pPr>
        <w:spacing w:after="80" w:before="80"/>
      </w:pPr>
      <w:r>
        <w:rPr>
          <w:rFonts w:ascii="Arial" w:cs="Arial" w:eastAsia="Arial" w:hAnsi="Arial"/>
          <w:b w:val="false"/>
          <w:bCs w:val="false"/>
          <w:color w:val="2C2C2C"/>
          <w:sz w:val="22"/>
          <w:szCs w:val="22"/>
        </w:rPr>
        <w:t xml:space="preserve">Visual Edge extends this to the full workforce — from the most senior partner reviewing a 200-page brief to the AV coordinator scanning 14 meeting assignments before 8 AM. The same underlying technology. The same zero new tools. A completely personalized experience.</w:t>
      </w:r>
    </w:p>
    <w:p>
      <w:pPr>
        <w:spacing w:after="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66534" w:sz="4"/>
              <w:left w:val="single" w:color="166534" w:sz="24"/>
              <w:bottom w:val="single" w:color="166534" w:sz="4"/>
              <w:right w:val="single" w:color="166534" w:sz="4"/>
            </w:tcBorders>
            <w:shd w:fill="EAF3DE" w:val="clear"/>
            <w:tcMar>
              <w:top w:type="dxa" w:w="160"/>
              <w:left w:type="dxa" w:w="240"/>
              <w:bottom w:type="dxa" w:w="160"/>
              <w:right w:type="dxa" w:w="240"/>
            </w:tcMar>
          </w:tcPr>
          <w:p>
            <w:pPr>
              <w:spacing w:after="60" w:before="0"/>
            </w:pPr>
            <w:r>
              <w:rPr>
                <w:rFonts w:ascii="Arial" w:cs="Arial" w:eastAsia="Arial" w:hAnsi="Arial"/>
                <w:b/>
                <w:bCs/>
                <w:color w:val="166534"/>
                <w:spacing w:val="80"/>
                <w:sz w:val="17"/>
                <w:szCs w:val="17"/>
              </w:rPr>
              <w:t xml:space="preserve">PEOPLE REMAIN IN CONTROL</w:t>
            </w:r>
          </w:p>
          <w:p>
            <w:pPr>
              <w:spacing w:after="0" w:before="0"/>
            </w:pPr>
            <w:r>
              <w:rPr>
                <w:rFonts w:ascii="Arial" w:cs="Arial" w:eastAsia="Arial" w:hAnsi="Arial"/>
                <w:color w:val="2C2C2C"/>
                <w:sz w:val="22"/>
                <w:szCs w:val="22"/>
              </w:rPr>
              <w:t xml:space="preserve">Visual Edge surfaces information — it does not make decisions. Every alert, every badge, every prioritized item is presented to a human who decides what to do with it. The AI augments human judgment; it does not replace it.</w:t>
            </w:r>
          </w:p>
        </w:tc>
      </w:tr>
    </w:tbl>
    <w:p>
      <w:pPr>
        <w:spacing w:after="0" w:before="200"/>
      </w:pPr>
    </w:p>
    <w:p>
      <w:r>
        <w:br w:type="page"/>
      </w:r>
    </w:p>
    <w:p>
      <w:pPr>
        <w:spacing w:after="60" w:before="280"/>
      </w:pPr>
      <w:r>
        <w:rPr>
          <w:rFonts w:ascii="Arial" w:cs="Arial" w:eastAsia="Arial" w:hAnsi="Arial"/>
          <w:b/>
          <w:bCs/>
          <w:color w:val="C8102E"/>
          <w:spacing w:val="80"/>
          <w:sz w:val="17"/>
          <w:szCs w:val="17"/>
        </w:rPr>
        <w:t xml:space="preserve">07 — MY ROLE</w:t>
      </w:r>
    </w:p>
    <w:p>
      <w:pPr>
        <w:spacing w:after="160" w:before="0"/>
      </w:pPr>
      <w:r>
        <w:rPr>
          <w:rFonts w:ascii="Arial" w:cs="Arial" w:eastAsia="Arial" w:hAnsi="Arial"/>
          <w:b/>
          <w:bCs/>
          <w:color w:val="1B2A4A"/>
          <w:sz w:val="36"/>
          <w:szCs w:val="36"/>
        </w:rPr>
        <w:t xml:space="preserve">Responsibilities &amp; Contributions</w:t>
      </w:r>
    </w:p>
    <w:p>
      <w:pPr>
        <w:pBdr>
          <w:bottom w:val="single" w:color="C8102E" w:sz="12"/>
        </w:pBdr>
        <w:spacing w:after="100" w:before="100"/>
      </w:pPr>
    </w:p>
    <w:p>
      <w:pPr>
        <w:spacing w:after="0" w:before="120"/>
      </w:pPr>
    </w:p>
    <w:p>
      <w:pPr>
        <w:spacing w:after="80" w:before="80"/>
      </w:pPr>
      <w:r>
        <w:rPr>
          <w:rFonts w:ascii="Arial" w:cs="Arial" w:eastAsia="Arial" w:hAnsi="Arial"/>
          <w:b w:val="false"/>
          <w:bCs w:val="false"/>
          <w:color w:val="2C2C2C"/>
          <w:sz w:val="22"/>
          <w:szCs w:val="22"/>
        </w:rPr>
        <w:t xml:space="preserve">Visual Edge was conceived, designed, and delivered as an individual contribution — from initial problem identification through executive presentation at the hackathon. The following describes the full scope of work.</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4800"/>
      </w:tblGrid>
      <w:tr>
        <w:tc>
          <w:tcPr>
            <w:tcW w:type="dxa" w:w="4560"/>
            <w:tcBorders>
              <w:top w:val="none" w:color="FFFFFF" w:sz="0"/>
              <w:left w:val="none" w:color="FFFFFF" w:sz="0"/>
              <w:bottom w:val="none" w:color="FFFFFF" w:sz="0"/>
              <w:right w:val="none" w:color="FFFFFF" w:sz="0"/>
            </w:tcBorders>
            <w:tcMar>
              <w:top w:type="dxa" w:w="80"/>
              <w:left w:type="dxa" w:w="0"/>
              <w:bottom w:type="dxa" w:w="80"/>
              <w:right w:type="dxa" w:w="200"/>
            </w:tcMar>
          </w:tcPr>
          <w:p>
            <w:pPr>
              <w:spacing w:after="80" w:before="240"/>
            </w:pPr>
            <w:r>
              <w:rPr>
                <w:rFonts w:ascii="Arial" w:cs="Arial" w:eastAsia="Arial" w:hAnsi="Arial"/>
                <w:b/>
                <w:bCs/>
                <w:color w:val="1B2A4A"/>
                <w:sz w:val="24"/>
                <w:szCs w:val="24"/>
              </w:rPr>
              <w:t xml:space="preserve">Product &amp; Strategy</w:t>
            </w:r>
          </w:p>
          <w:p>
            <w:pPr>
              <w:pStyle w:val="ListParagraph"/>
              <w:numPr>
                <w:ilvl w:val="0"/>
                <w:numId w:val="2"/>
              </w:numPr>
              <w:spacing w:after="60" w:before="60"/>
            </w:pPr>
            <w:r>
              <w:rPr>
                <w:rFonts w:ascii="Arial" w:cs="Arial" w:eastAsia="Arial" w:hAnsi="Arial"/>
                <w:color w:val="2C2C2C"/>
                <w:sz w:val="22"/>
                <w:szCs w:val="22"/>
              </w:rPr>
              <w:t xml:space="preserve">Product concept development — defining the problem space, solution architecture, and phase roadmap from scratch</w:t>
            </w:r>
          </w:p>
          <w:p>
            <w:pPr>
              <w:pStyle w:val="ListParagraph"/>
              <w:numPr>
                <w:ilvl w:val="0"/>
                <w:numId w:val="2"/>
              </w:numPr>
              <w:spacing w:after="60" w:before="60"/>
            </w:pPr>
            <w:r>
              <w:rPr>
                <w:rFonts w:ascii="Arial" w:cs="Arial" w:eastAsia="Arial" w:hAnsi="Arial"/>
                <w:color w:val="2C2C2C"/>
                <w:sz w:val="22"/>
                <w:szCs w:val="22"/>
              </w:rPr>
              <w:t xml:space="preserve">Project vision — articulating why this matters, who it serves, and how it scales across the firm</w:t>
            </w:r>
          </w:p>
          <w:p>
            <w:pPr>
              <w:pStyle w:val="ListParagraph"/>
              <w:numPr>
                <w:ilvl w:val="0"/>
                <w:numId w:val="2"/>
              </w:numPr>
              <w:spacing w:after="60" w:before="60"/>
            </w:pPr>
            <w:r>
              <w:rPr>
                <w:rFonts w:ascii="Arial" w:cs="Arial" w:eastAsia="Arial" w:hAnsi="Arial"/>
                <w:color w:val="2C2C2C"/>
                <w:sz w:val="22"/>
                <w:szCs w:val="22"/>
              </w:rPr>
              <w:t xml:space="preserve">Accessibility strategy — ensuring the product serves neurodivergent users, aging staff, and the full cognitive diversity of a modern workforce</w:t>
            </w:r>
          </w:p>
          <w:p>
            <w:pPr>
              <w:pStyle w:val="ListParagraph"/>
              <w:numPr>
                <w:ilvl w:val="0"/>
                <w:numId w:val="2"/>
              </w:numPr>
              <w:spacing w:after="60" w:before="60"/>
            </w:pPr>
            <w:r>
              <w:rPr>
                <w:rFonts w:ascii="Arial" w:cs="Arial" w:eastAsia="Arial" w:hAnsi="Arial"/>
                <w:color w:val="2C2C2C"/>
                <w:sz w:val="22"/>
                <w:szCs w:val="22"/>
              </w:rPr>
              <w:t xml:space="preserve">Q&amp;A preparation — anticipating judge questions across five scoring categories and preparing evidence-based responses</w:t>
            </w:r>
          </w:p>
          <w:p>
            <w:pPr>
              <w:spacing w:after="0" w:before="80"/>
            </w:pPr>
          </w:p>
          <w:p>
            <w:pPr>
              <w:spacing w:after="80" w:before="240"/>
            </w:pPr>
            <w:r>
              <w:rPr>
                <w:rFonts w:ascii="Arial" w:cs="Arial" w:eastAsia="Arial" w:hAnsi="Arial"/>
                <w:b/>
                <w:bCs/>
                <w:color w:val="C8102E"/>
                <w:sz w:val="24"/>
                <w:szCs w:val="24"/>
              </w:rPr>
              <w:t xml:space="preserve">Creative Direction</w:t>
            </w:r>
          </w:p>
          <w:p>
            <w:pPr>
              <w:pStyle w:val="ListParagraph"/>
              <w:numPr>
                <w:ilvl w:val="0"/>
                <w:numId w:val="2"/>
              </w:numPr>
              <w:spacing w:after="60" w:before="60"/>
            </w:pPr>
            <w:r>
              <w:rPr>
                <w:rFonts w:ascii="Arial" w:cs="Arial" w:eastAsia="Arial" w:hAnsi="Arial"/>
                <w:color w:val="2C2C2C"/>
                <w:sz w:val="22"/>
                <w:szCs w:val="22"/>
              </w:rPr>
              <w:t xml:space="preserve">Full brand identity design — color palette, typography, visual language, and design system</w:t>
            </w:r>
          </w:p>
          <w:p>
            <w:pPr>
              <w:pStyle w:val="ListParagraph"/>
              <w:numPr>
                <w:ilvl w:val="0"/>
                <w:numId w:val="2"/>
              </w:numPr>
              <w:spacing w:after="60" w:before="60"/>
            </w:pPr>
            <w:r>
              <w:rPr>
                <w:rFonts w:ascii="Arial" w:cs="Arial" w:eastAsia="Arial" w:hAnsi="Arial"/>
                <w:color w:val="2C2C2C"/>
                <w:sz w:val="22"/>
                <w:szCs w:val="22"/>
              </w:rPr>
              <w:t xml:space="preserve">Visual communication — translating complex AI and UX concepts into clear, scannable visual formats</w:t>
            </w:r>
          </w:p>
          <w:p>
            <w:pPr>
              <w:pStyle w:val="ListParagraph"/>
              <w:numPr>
                <w:ilvl w:val="0"/>
                <w:numId w:val="2"/>
              </w:numPr>
              <w:spacing w:after="60" w:before="60"/>
            </w:pPr>
            <w:r>
              <w:rPr>
                <w:rFonts w:ascii="Arial" w:cs="Arial" w:eastAsia="Arial" w:hAnsi="Arial"/>
                <w:color w:val="2C2C2C"/>
                <w:sz w:val="22"/>
                <w:szCs w:val="22"/>
              </w:rPr>
              <w:t xml:space="preserve">Presentation design — building a 9-slide executive deck aligned to the Visual Edge design system</w:t>
            </w:r>
          </w:p>
          <w:p>
            <w:pPr>
              <w:pStyle w:val="ListParagraph"/>
              <w:numPr>
                <w:ilvl w:val="0"/>
                <w:numId w:val="2"/>
              </w:numPr>
              <w:spacing w:after="60" w:before="60"/>
            </w:pPr>
            <w:r>
              <w:rPr>
                <w:rFonts w:ascii="Arial" w:cs="Arial" w:eastAsia="Arial" w:hAnsi="Arial"/>
                <w:color w:val="2C2C2C"/>
                <w:sz w:val="22"/>
                <w:szCs w:val="22"/>
              </w:rPr>
              <w:t xml:space="preserve">Motion graphics design — creating cinematic brand reveal videos, document transformation animations, and calendar intelligence demonstrations</w:t>
            </w:r>
          </w:p>
        </w:tc>
        <w:tc>
          <w:tcPr>
            <w:tcW w:type="dxa" w:w="4800"/>
            <w:tcBorders>
              <w:top w:val="none" w:color="FFFFFF" w:sz="0"/>
              <w:left w:val="none" w:color="FFFFFF" w:sz="0"/>
              <w:bottom w:val="none" w:color="FFFFFF" w:sz="0"/>
              <w:right w:val="none" w:color="FFFFFF" w:sz="0"/>
            </w:tcBorders>
            <w:tcMar>
              <w:top w:type="dxa" w:w="80"/>
              <w:left w:type="dxa" w:w="200"/>
              <w:bottom w:type="dxa" w:w="80"/>
              <w:right w:type="dxa" w:w="0"/>
            </w:tcMar>
          </w:tcPr>
          <w:p>
            <w:pPr>
              <w:spacing w:after="80" w:before="240"/>
            </w:pPr>
            <w:r>
              <w:rPr>
                <w:rFonts w:ascii="Arial" w:cs="Arial" w:eastAsia="Arial" w:hAnsi="Arial"/>
                <w:b/>
                <w:bCs/>
                <w:color w:val="0076BC"/>
                <w:sz w:val="24"/>
                <w:szCs w:val="24"/>
              </w:rPr>
              <w:t xml:space="preserve">Technical &amp; AI Workflow</w:t>
            </w:r>
          </w:p>
          <w:p>
            <w:pPr>
              <w:pStyle w:val="ListParagraph"/>
              <w:numPr>
                <w:ilvl w:val="0"/>
                <w:numId w:val="2"/>
              </w:numPr>
              <w:spacing w:after="60" w:before="60"/>
            </w:pPr>
            <w:r>
              <w:rPr>
                <w:rFonts w:ascii="Arial" w:cs="Arial" w:eastAsia="Arial" w:hAnsi="Arial"/>
                <w:color w:val="2C2C2C"/>
                <w:sz w:val="22"/>
                <w:szCs w:val="22"/>
              </w:rPr>
              <w:t xml:space="preserve">AI prompt engineering — developing and iterating prompts across Claude and ChatGPT for document generation, motion graphics, animation logic, and Q&amp;A preparation</w:t>
            </w:r>
          </w:p>
          <w:p>
            <w:pPr>
              <w:pStyle w:val="ListParagraph"/>
              <w:numPr>
                <w:ilvl w:val="0"/>
                <w:numId w:val="2"/>
              </w:numPr>
              <w:spacing w:after="60" w:before="60"/>
            </w:pPr>
            <w:r>
              <w:rPr>
                <w:rFonts w:ascii="Arial" w:cs="Arial" w:eastAsia="Arial" w:hAnsi="Arial"/>
                <w:color w:val="2C2C2C"/>
                <w:sz w:val="22"/>
                <w:szCs w:val="22"/>
              </w:rPr>
              <w:t xml:space="preserve">AI-assisted design workflows — using AI tools to accelerate production of deliverables that would typically require a full design team</w:t>
            </w:r>
          </w:p>
          <w:p>
            <w:pPr>
              <w:pStyle w:val="ListParagraph"/>
              <w:numPr>
                <w:ilvl w:val="0"/>
                <w:numId w:val="2"/>
              </w:numPr>
              <w:spacing w:after="60" w:before="60"/>
            </w:pPr>
            <w:r>
              <w:rPr>
                <w:rFonts w:ascii="Arial" w:cs="Arial" w:eastAsia="Arial" w:hAnsi="Arial"/>
                <w:color w:val="2C2C2C"/>
                <w:sz w:val="22"/>
                <w:szCs w:val="22"/>
              </w:rPr>
              <w:t xml:space="preserve">Deliverable production — building all outputs from scratch including HTML animations, MP4 videos, DOCX documents, and PPTX presentations</w:t>
            </w:r>
          </w:p>
          <w:p>
            <w:pPr>
              <w:spacing w:after="0" w:before="80"/>
            </w:pPr>
          </w:p>
          <w:p>
            <w:pPr>
              <w:spacing w:after="80" w:before="240"/>
            </w:pPr>
            <w:r>
              <w:rPr>
                <w:rFonts w:ascii="Arial" w:cs="Arial" w:eastAsia="Arial" w:hAnsi="Arial"/>
                <w:b/>
                <w:bCs/>
                <w:color w:val="C97B00"/>
                <w:sz w:val="24"/>
                <w:szCs w:val="24"/>
              </w:rPr>
              <w:t xml:space="preserve">Communication &amp; Delivery</w:t>
            </w:r>
          </w:p>
          <w:p>
            <w:pPr>
              <w:pStyle w:val="ListParagraph"/>
              <w:numPr>
                <w:ilvl w:val="0"/>
                <w:numId w:val="2"/>
              </w:numPr>
              <w:spacing w:after="60" w:before="60"/>
            </w:pPr>
            <w:r>
              <w:rPr>
                <w:rFonts w:ascii="Arial" w:cs="Arial" w:eastAsia="Arial" w:hAnsi="Arial"/>
                <w:color w:val="2C2C2C"/>
                <w:sz w:val="22"/>
                <w:szCs w:val="22"/>
              </w:rPr>
              <w:t xml:space="preserve">Storytelling — constructing the emotional and logical arc of the presentation from problem to solution</w:t>
            </w:r>
          </w:p>
          <w:p>
            <w:pPr>
              <w:pStyle w:val="ListParagraph"/>
              <w:numPr>
                <w:ilvl w:val="0"/>
                <w:numId w:val="2"/>
              </w:numPr>
              <w:spacing w:after="60" w:before="60"/>
            </w:pPr>
            <w:r>
              <w:rPr>
                <w:rFonts w:ascii="Arial" w:cs="Arial" w:eastAsia="Arial" w:hAnsi="Arial"/>
                <w:color w:val="2C2C2C"/>
                <w:sz w:val="22"/>
                <w:szCs w:val="22"/>
              </w:rPr>
              <w:t xml:space="preserve">Team leadership — directing the project vision, coordinating contributions, and maintaining creative coherence across all materials</w:t>
            </w:r>
          </w:p>
          <w:p>
            <w:pPr>
              <w:pStyle w:val="ListParagraph"/>
              <w:numPr>
                <w:ilvl w:val="0"/>
                <w:numId w:val="2"/>
              </w:numPr>
              <w:spacing w:after="60" w:before="60"/>
            </w:pPr>
            <w:r>
              <w:rPr>
                <w:rFonts w:ascii="Arial" w:cs="Arial" w:eastAsia="Arial" w:hAnsi="Arial"/>
                <w:color w:val="2C2C2C"/>
                <w:sz w:val="22"/>
                <w:szCs w:val="22"/>
              </w:rPr>
              <w:t xml:space="preserve">Executive presentation delivery — presenting Visual Edge to firm leadership and hackathon judges in a live setting</w:t>
            </w:r>
          </w:p>
        </w:tc>
      </w:tr>
    </w:tbl>
    <w:p>
      <w:pPr>
        <w:spacing w:after="0" w:before="200"/>
      </w:pPr>
    </w:p>
    <w:p>
      <w:r>
        <w:br w:type="page"/>
      </w:r>
    </w:p>
    <w:p>
      <w:pPr>
        <w:spacing w:after="60" w:before="280"/>
      </w:pPr>
      <w:r>
        <w:rPr>
          <w:rFonts w:ascii="Arial" w:cs="Arial" w:eastAsia="Arial" w:hAnsi="Arial"/>
          <w:b/>
          <w:bCs/>
          <w:color w:val="C8102E"/>
          <w:spacing w:val="80"/>
          <w:sz w:val="17"/>
          <w:szCs w:val="17"/>
        </w:rPr>
        <w:t xml:space="preserve">08 — TOOLS &amp; TECHNOLOGY</w:t>
      </w:r>
    </w:p>
    <w:p>
      <w:pPr>
        <w:spacing w:after="160" w:before="0"/>
      </w:pPr>
      <w:r>
        <w:rPr>
          <w:rFonts w:ascii="Arial" w:cs="Arial" w:eastAsia="Arial" w:hAnsi="Arial"/>
          <w:b/>
          <w:bCs/>
          <w:color w:val="1B2A4A"/>
          <w:sz w:val="36"/>
          <w:szCs w:val="36"/>
        </w:rPr>
        <w:t xml:space="preserve">Built With the Tools Available</w:t>
      </w:r>
    </w:p>
    <w:p>
      <w:pPr>
        <w:pBdr>
          <w:bottom w:val="single" w:color="C8102E" w:sz="12"/>
        </w:pBdr>
        <w:spacing w:after="100" w:before="100"/>
      </w:pPr>
    </w:p>
    <w:p>
      <w:pPr>
        <w:spacing w:after="0" w:before="120"/>
      </w:pPr>
    </w:p>
    <w:p>
      <w:pPr>
        <w:spacing w:after="80" w:before="80"/>
      </w:pPr>
      <w:r>
        <w:rPr>
          <w:rFonts w:ascii="Arial" w:cs="Arial" w:eastAsia="Arial" w:hAnsi="Arial"/>
          <w:b w:val="false"/>
          <w:bCs w:val="false"/>
          <w:color w:val="2C2C2C"/>
          <w:sz w:val="22"/>
          <w:szCs w:val="22"/>
        </w:rPr>
        <w:t xml:space="preserve">Visual Edge was produced using a deliberately curated AI-assisted workflow — combining large language models, presentation tools, and video production in a pipeline that would not have been feasible without generative AI. Every tool in this list was used directly and meaningfully.</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4800"/>
      </w:tblGrid>
      <w:tr>
        <w:tc>
          <w:tcPr>
            <w:tcW w:type="dxa" w:w="4560"/>
            <w:tcBorders>
              <w:top w:val="none" w:color="FFFFFF" w:sz="0"/>
              <w:left w:val="none" w:color="FFFFFF" w:sz="0"/>
              <w:bottom w:val="none" w:color="FFFFFF" w:sz="0"/>
              <w:right w:val="none" w:color="FFFFFF" w:sz="0"/>
            </w:tcBorders>
            <w:tcMar>
              <w:top w:type="dxa" w:w="80"/>
              <w:left w:type="dxa" w:w="0"/>
              <w:bottom w:type="dxa" w:w="80"/>
              <w:right w:type="dxa" w:w="200"/>
            </w:tcMar>
          </w:tcPr>
          <w:p>
            <w:pPr>
              <w:spacing w:after="80" w:before="240"/>
            </w:pPr>
            <w:r>
              <w:rPr>
                <w:rFonts w:ascii="Arial" w:cs="Arial" w:eastAsia="Arial" w:hAnsi="Arial"/>
                <w:b/>
                <w:bCs/>
                <w:color w:val="1B2A4A"/>
                <w:sz w:val="24"/>
                <w:szCs w:val="24"/>
              </w:rPr>
              <w:t xml:space="preserve">AI &amp; Language Models</w:t>
            </w:r>
          </w:p>
          <w:p>
            <w:pPr>
              <w:pStyle w:val="ListParagraph"/>
              <w:numPr>
                <w:ilvl w:val="0"/>
                <w:numId w:val="2"/>
              </w:numPr>
              <w:spacing w:after="60" w:before="60"/>
            </w:pPr>
            <w:r>
              <w:rPr>
                <w:rFonts w:ascii="Arial" w:cs="Arial" w:eastAsia="Arial" w:hAnsi="Arial"/>
                <w:color w:val="2C2C2C"/>
                <w:sz w:val="22"/>
                <w:szCs w:val="22"/>
              </w:rPr>
              <w:t xml:space="preserve">Claude (Anthropic) — primary AI collaborator for document generation, animation code, prompt refinement, motion graphics logic, Q&amp;A preparation, and case study writing</w:t>
            </w:r>
          </w:p>
          <w:p>
            <w:pPr>
              <w:pStyle w:val="ListParagraph"/>
              <w:numPr>
                <w:ilvl w:val="0"/>
                <w:numId w:val="2"/>
              </w:numPr>
              <w:spacing w:after="60" w:before="60"/>
            </w:pPr>
            <w:r>
              <w:rPr>
                <w:rFonts w:ascii="Arial" w:cs="Arial" w:eastAsia="Arial" w:hAnsi="Arial"/>
                <w:color w:val="2C2C2C"/>
                <w:sz w:val="22"/>
                <w:szCs w:val="22"/>
              </w:rPr>
              <w:t xml:space="preserve">ChatGPT (OpenAI) — ideation, early concept development, and supplementary content generation</w:t>
            </w:r>
          </w:p>
          <w:p>
            <w:pPr>
              <w:pStyle w:val="ListParagraph"/>
              <w:numPr>
                <w:ilvl w:val="0"/>
                <w:numId w:val="2"/>
              </w:numPr>
              <w:spacing w:after="60" w:before="60"/>
            </w:pPr>
            <w:r>
              <w:rPr>
                <w:rFonts w:ascii="Arial" w:cs="Arial" w:eastAsia="Arial" w:hAnsi="Arial"/>
                <w:color w:val="2C2C2C"/>
                <w:sz w:val="22"/>
                <w:szCs w:val="22"/>
              </w:rPr>
              <w:t xml:space="preserve">Prompt engineering — iterative development of structured prompts to produce consistent, high-quality outputs across all deliverables</w:t>
            </w:r>
          </w:p>
          <w:p>
            <w:pPr>
              <w:spacing w:after="0" w:before="80"/>
            </w:pPr>
          </w:p>
          <w:p>
            <w:pPr>
              <w:spacing w:after="80" w:before="240"/>
            </w:pPr>
            <w:r>
              <w:rPr>
                <w:rFonts w:ascii="Arial" w:cs="Arial" w:eastAsia="Arial" w:hAnsi="Arial"/>
                <w:b/>
                <w:bCs/>
                <w:color w:val="0076BC"/>
                <w:sz w:val="24"/>
                <w:szCs w:val="24"/>
              </w:rPr>
              <w:t xml:space="preserve">Design &amp; Presentation</w:t>
            </w:r>
          </w:p>
          <w:p>
            <w:pPr>
              <w:pStyle w:val="ListParagraph"/>
              <w:numPr>
                <w:ilvl w:val="0"/>
                <w:numId w:val="2"/>
              </w:numPr>
              <w:spacing w:after="60" w:before="60"/>
            </w:pPr>
            <w:r>
              <w:rPr>
                <w:rFonts w:ascii="Arial" w:cs="Arial" w:eastAsia="Arial" w:hAnsi="Arial"/>
                <w:color w:val="2C2C2C"/>
                <w:sz w:val="22"/>
                <w:szCs w:val="22"/>
              </w:rPr>
              <w:t xml:space="preserve">PowerPoint — executive presentation deck built to match the Visual Edge brand system</w:t>
            </w:r>
          </w:p>
          <w:p>
            <w:pPr>
              <w:pStyle w:val="ListParagraph"/>
              <w:numPr>
                <w:ilvl w:val="0"/>
                <w:numId w:val="2"/>
              </w:numPr>
              <w:spacing w:after="60" w:before="60"/>
            </w:pPr>
            <w:r>
              <w:rPr>
                <w:rFonts w:ascii="Arial" w:cs="Arial" w:eastAsia="Arial" w:hAnsi="Arial"/>
                <w:color w:val="2C2C2C"/>
                <w:sz w:val="22"/>
                <w:szCs w:val="22"/>
              </w:rPr>
              <w:t xml:space="preserve">AI image generation — conceptual visuals and brand asset development</w:t>
            </w:r>
          </w:p>
          <w:p>
            <w:pPr>
              <w:pStyle w:val="ListParagraph"/>
              <w:numPr>
                <w:ilvl w:val="0"/>
                <w:numId w:val="2"/>
              </w:numPr>
              <w:spacing w:after="60" w:before="60"/>
            </w:pPr>
            <w:r>
              <w:rPr>
                <w:rFonts w:ascii="Arial" w:cs="Arial" w:eastAsia="Arial" w:hAnsi="Arial"/>
                <w:color w:val="2C2C2C"/>
                <w:sz w:val="22"/>
                <w:szCs w:val="22"/>
              </w:rPr>
              <w:t xml:space="preserve">Presentation design workflows — systematic approach to slide architecture, typography, and visual hierarchy</w:t>
            </w:r>
          </w:p>
        </w:tc>
        <w:tc>
          <w:tcPr>
            <w:tcW w:type="dxa" w:w="4800"/>
            <w:tcBorders>
              <w:top w:val="none" w:color="FFFFFF" w:sz="0"/>
              <w:left w:val="none" w:color="FFFFFF" w:sz="0"/>
              <w:bottom w:val="none" w:color="FFFFFF" w:sz="0"/>
              <w:right w:val="none" w:color="FFFFFF" w:sz="0"/>
            </w:tcBorders>
            <w:tcMar>
              <w:top w:type="dxa" w:w="80"/>
              <w:left w:type="dxa" w:w="200"/>
              <w:bottom w:type="dxa" w:w="80"/>
              <w:right w:type="dxa" w:w="0"/>
            </w:tcMar>
          </w:tcPr>
          <w:p>
            <w:pPr>
              <w:spacing w:after="80" w:before="240"/>
            </w:pPr>
            <w:r>
              <w:rPr>
                <w:rFonts w:ascii="Arial" w:cs="Arial" w:eastAsia="Arial" w:hAnsi="Arial"/>
                <w:b/>
                <w:bCs/>
                <w:color w:val="C8102E"/>
                <w:sz w:val="24"/>
                <w:szCs w:val="24"/>
              </w:rPr>
              <w:t xml:space="preserve">Motion &amp; Video</w:t>
            </w:r>
          </w:p>
          <w:p>
            <w:pPr>
              <w:pStyle w:val="ListParagraph"/>
              <w:numPr>
                <w:ilvl w:val="0"/>
                <w:numId w:val="2"/>
              </w:numPr>
              <w:spacing w:after="60" w:before="60"/>
            </w:pPr>
            <w:r>
              <w:rPr>
                <w:rFonts w:ascii="Arial" w:cs="Arial" w:eastAsia="Arial" w:hAnsi="Arial"/>
                <w:color w:val="2C2C2C"/>
                <w:sz w:val="22"/>
                <w:szCs w:val="22"/>
              </w:rPr>
              <w:t xml:space="preserve">Final Cut Pro — video editing and post-production for motion graphics packages</w:t>
            </w:r>
          </w:p>
          <w:p>
            <w:pPr>
              <w:pStyle w:val="ListParagraph"/>
              <w:numPr>
                <w:ilvl w:val="0"/>
                <w:numId w:val="2"/>
              </w:numPr>
              <w:spacing w:after="60" w:before="60"/>
            </w:pPr>
            <w:r>
              <w:rPr>
                <w:rFonts w:ascii="Arial" w:cs="Arial" w:eastAsia="Arial" w:hAnsi="Arial"/>
                <w:color w:val="2C2C2C"/>
                <w:sz w:val="22"/>
                <w:szCs w:val="22"/>
              </w:rPr>
              <w:t xml:space="preserve">Motion graphics — HTML5 canvas and CSS animation for document transformation, calendar intelligence, and brand reveal sequences</w:t>
            </w:r>
          </w:p>
          <w:p>
            <w:pPr>
              <w:pStyle w:val="ListParagraph"/>
              <w:numPr>
                <w:ilvl w:val="0"/>
                <w:numId w:val="2"/>
              </w:numPr>
              <w:spacing w:after="60" w:before="60"/>
            </w:pPr>
            <w:r>
              <w:rPr>
                <w:rFonts w:ascii="Arial" w:cs="Arial" w:eastAsia="Arial" w:hAnsi="Arial"/>
                <w:color w:val="2C2C2C"/>
                <w:sz w:val="22"/>
                <w:szCs w:val="22"/>
              </w:rPr>
              <w:t xml:space="preserve">Playwright + FFmpeg — headless browser frame capture and video encoding pipeline for all animated MP4 deliverables</w:t>
            </w:r>
          </w:p>
          <w:p>
            <w:pPr>
              <w:spacing w:after="0" w:before="80"/>
            </w:pPr>
          </w:p>
          <w:p>
            <w:pPr>
              <w:spacing w:after="80" w:before="240"/>
            </w:pPr>
            <w:r>
              <w:rPr>
                <w:rFonts w:ascii="Arial" w:cs="Arial" w:eastAsia="Arial" w:hAnsi="Arial"/>
                <w:b/>
                <w:bCs/>
                <w:color w:val="C97B00"/>
                <w:sz w:val="24"/>
                <w:szCs w:val="24"/>
              </w:rPr>
              <w:t xml:space="preserve">Document Production</w:t>
            </w:r>
          </w:p>
          <w:p>
            <w:pPr>
              <w:pStyle w:val="ListParagraph"/>
              <w:numPr>
                <w:ilvl w:val="0"/>
                <w:numId w:val="2"/>
              </w:numPr>
              <w:spacing w:after="60" w:before="60"/>
            </w:pPr>
            <w:r>
              <w:rPr>
                <w:rFonts w:ascii="Arial" w:cs="Arial" w:eastAsia="Arial" w:hAnsi="Arial"/>
                <w:color w:val="2C2C2C"/>
                <w:sz w:val="22"/>
                <w:szCs w:val="22"/>
              </w:rPr>
              <w:t xml:space="preserve">docx-js — programmatic Word document generation with full brand styling</w:t>
            </w:r>
          </w:p>
          <w:p>
            <w:pPr>
              <w:pStyle w:val="ListParagraph"/>
              <w:numPr>
                <w:ilvl w:val="0"/>
                <w:numId w:val="2"/>
              </w:numPr>
              <w:spacing w:after="60" w:before="60"/>
            </w:pPr>
            <w:r>
              <w:rPr>
                <w:rFonts w:ascii="Arial" w:cs="Arial" w:eastAsia="Arial" w:hAnsi="Arial"/>
                <w:color w:val="2C2C2C"/>
                <w:sz w:val="22"/>
                <w:szCs w:val="22"/>
              </w:rPr>
              <w:t xml:space="preserve">pptxgenjs — programmatic PowerPoint generation for pixel-perfect slide production</w:t>
            </w:r>
          </w:p>
          <w:p>
            <w:pPr>
              <w:pStyle w:val="ListParagraph"/>
              <w:numPr>
                <w:ilvl w:val="0"/>
                <w:numId w:val="2"/>
              </w:numPr>
              <w:spacing w:after="60" w:before="60"/>
            </w:pPr>
            <w:r>
              <w:rPr>
                <w:rFonts w:ascii="Arial" w:cs="Arial" w:eastAsia="Arial" w:hAnsi="Arial"/>
                <w:color w:val="2C2C2C"/>
                <w:sz w:val="22"/>
                <w:szCs w:val="22"/>
              </w:rPr>
              <w:t xml:space="preserve">HTML/CSS/JavaScript — interactive mockups, animation prototypes, and rendering source files</w:t>
            </w:r>
          </w:p>
        </w:tc>
      </w:tr>
    </w:tbl>
    <w:p>
      <w:pPr>
        <w:spacing w:after="0" w:before="200"/>
      </w:pPr>
    </w:p>
    <w:p>
      <w:r>
        <w:br w:type="page"/>
      </w:r>
    </w:p>
    <w:p>
      <w:pPr>
        <w:spacing w:after="60" w:before="280"/>
      </w:pPr>
      <w:r>
        <w:rPr>
          <w:rFonts w:ascii="Arial" w:cs="Arial" w:eastAsia="Arial" w:hAnsi="Arial"/>
          <w:b/>
          <w:bCs/>
          <w:color w:val="C8102E"/>
          <w:spacing w:val="80"/>
          <w:sz w:val="17"/>
          <w:szCs w:val="17"/>
        </w:rPr>
        <w:t xml:space="preserve">09 — DELIVERABLES</w:t>
      </w:r>
    </w:p>
    <w:p>
      <w:pPr>
        <w:spacing w:after="160" w:before="0"/>
      </w:pPr>
      <w:r>
        <w:rPr>
          <w:rFonts w:ascii="Arial" w:cs="Arial" w:eastAsia="Arial" w:hAnsi="Arial"/>
          <w:b/>
          <w:bCs/>
          <w:color w:val="1B2A4A"/>
          <w:sz w:val="36"/>
          <w:szCs w:val="36"/>
        </w:rPr>
        <w:t xml:space="preserve">Complete Project Output</w:t>
      </w:r>
    </w:p>
    <w:p>
      <w:pPr>
        <w:pBdr>
          <w:bottom w:val="single" w:color="C8102E" w:sz="12"/>
        </w:pBdr>
        <w:spacing w:after="100" w:before="100"/>
      </w:pPr>
    </w:p>
    <w:p>
      <w:pPr>
        <w:spacing w:after="0" w:before="120"/>
      </w:pPr>
    </w:p>
    <w:p>
      <w:pPr>
        <w:spacing w:after="80" w:before="80"/>
      </w:pPr>
      <w:r>
        <w:rPr>
          <w:rFonts w:ascii="Arial" w:cs="Arial" w:eastAsia="Arial" w:hAnsi="Arial"/>
          <w:b w:val="false"/>
          <w:bCs w:val="false"/>
          <w:color w:val="2C2C2C"/>
          <w:sz w:val="22"/>
          <w:szCs w:val="22"/>
        </w:rPr>
        <w:t xml:space="preserve">The following deliverables were produced for the Visual Edge hackathon submission. All outputs were designed to meet executive presentation standards and to demonstrate the product concept with maximum clarity and visual impact.</w:t>
      </w:r>
    </w:p>
    <w:p>
      <w:pPr>
        <w:spacing w:after="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60"/>
        <w:gridCol w:w="4800"/>
      </w:tblGrid>
      <w:tr>
        <w:tc>
          <w:tcPr>
            <w:tcW w:type="dxa" w:w="4560"/>
            <w:tcBorders>
              <w:top w:val="none" w:color="FFFFFF" w:sz="0"/>
              <w:left w:val="none" w:color="FFFFFF" w:sz="0"/>
              <w:bottom w:val="none" w:color="FFFFFF" w:sz="0"/>
              <w:right w:val="none" w:color="FFFFFF" w:sz="0"/>
            </w:tcBorders>
            <w:tcMar>
              <w:top w:type="dxa" w:w="80"/>
              <w:left w:type="dxa" w:w="0"/>
              <w:bottom w:type="dxa" w:w="80"/>
              <w:right w:type="dxa" w:w="200"/>
            </w:tcMar>
          </w:tcPr>
          <w:p>
            <w:pPr>
              <w:spacing w:after="80" w:before="240"/>
            </w:pPr>
            <w:r>
              <w:rPr>
                <w:rFonts w:ascii="Arial" w:cs="Arial" w:eastAsia="Arial" w:hAnsi="Arial"/>
                <w:b/>
                <w:bCs/>
                <w:color w:val="1B2A4A"/>
                <w:sz w:val="24"/>
                <w:szCs w:val="24"/>
              </w:rPr>
              <w:t xml:space="preserve">Presentation &amp; Strategy</w:t>
            </w:r>
          </w:p>
          <w:p>
            <w:pPr>
              <w:pStyle w:val="ListParagraph"/>
              <w:numPr>
                <w:ilvl w:val="0"/>
                <w:numId w:val="2"/>
              </w:numPr>
              <w:spacing w:after="60" w:before="60"/>
            </w:pPr>
            <w:r>
              <w:rPr>
                <w:rFonts w:ascii="Arial" w:cs="Arial" w:eastAsia="Arial" w:hAnsi="Arial"/>
                <w:color w:val="2C2C2C"/>
                <w:sz w:val="22"/>
                <w:szCs w:val="22"/>
              </w:rPr>
              <w:t xml:space="preserve">9-slide executive presentation deck (PPTX) with full speaker notes and 6-minute script</w:t>
            </w:r>
          </w:p>
          <w:p>
            <w:pPr>
              <w:pStyle w:val="ListParagraph"/>
              <w:numPr>
                <w:ilvl w:val="0"/>
                <w:numId w:val="2"/>
              </w:numPr>
              <w:spacing w:after="60" w:before="60"/>
            </w:pPr>
            <w:r>
              <w:rPr>
                <w:rFonts w:ascii="Arial" w:cs="Arial" w:eastAsia="Arial" w:hAnsi="Arial"/>
                <w:color w:val="2C2C2C"/>
                <w:sz w:val="22"/>
                <w:szCs w:val="22"/>
              </w:rPr>
              <w:t xml:space="preserve">Judge Q&amp;A preparation brief — 15 questions prioritized by likelihood, color-coded by scoring category, with neon-highlighted key phrases</w:t>
            </w:r>
          </w:p>
          <w:p>
            <w:pPr>
              <w:pStyle w:val="ListParagraph"/>
              <w:numPr>
                <w:ilvl w:val="0"/>
                <w:numId w:val="2"/>
              </w:numPr>
              <w:spacing w:after="60" w:before="60"/>
            </w:pPr>
            <w:r>
              <w:rPr>
                <w:rFonts w:ascii="Arial" w:cs="Arial" w:eastAsia="Arial" w:hAnsi="Arial"/>
                <w:color w:val="2C2C2C"/>
                <w:sz w:val="22"/>
                <w:szCs w:val="22"/>
              </w:rPr>
              <w:t xml:space="preserve">Product roadmap — three-phase visual roadmap with phase cards, value propositions, and use case grids</w:t>
            </w:r>
          </w:p>
          <w:p>
            <w:pPr>
              <w:pStyle w:val="ListParagraph"/>
              <w:numPr>
                <w:ilvl w:val="0"/>
                <w:numId w:val="2"/>
              </w:numPr>
              <w:spacing w:after="60" w:before="60"/>
            </w:pPr>
            <w:r>
              <w:rPr>
                <w:rFonts w:ascii="Arial" w:cs="Arial" w:eastAsia="Arial" w:hAnsi="Arial"/>
                <w:color w:val="2C2C2C"/>
                <w:sz w:val="22"/>
                <w:szCs w:val="22"/>
              </w:rPr>
              <w:t xml:space="preserve">Before/after document mockup — stacked legal document transformation graphic (PNG, 1400x520px)</w:t>
            </w:r>
          </w:p>
          <w:p>
            <w:pPr>
              <w:spacing w:after="0" w:before="80"/>
            </w:pPr>
          </w:p>
          <w:p>
            <w:pPr>
              <w:spacing w:after="80" w:before="240"/>
            </w:pPr>
            <w:r>
              <w:rPr>
                <w:rFonts w:ascii="Arial" w:cs="Arial" w:eastAsia="Arial" w:hAnsi="Arial"/>
                <w:b/>
                <w:bCs/>
                <w:color w:val="C8102E"/>
                <w:sz w:val="24"/>
                <w:szCs w:val="24"/>
              </w:rPr>
              <w:t xml:space="preserve">Brand Identity</w:t>
            </w:r>
          </w:p>
          <w:p>
            <w:pPr>
              <w:pStyle w:val="ListParagraph"/>
              <w:numPr>
                <w:ilvl w:val="0"/>
                <w:numId w:val="2"/>
              </w:numPr>
              <w:spacing w:after="60" w:before="60"/>
            </w:pPr>
            <w:r>
              <w:rPr>
                <w:rFonts w:ascii="Arial" w:cs="Arial" w:eastAsia="Arial" w:hAnsi="Arial"/>
                <w:color w:val="2C2C2C"/>
                <w:sz w:val="22"/>
                <w:szCs w:val="22"/>
              </w:rPr>
              <w:t xml:space="preserve">Visual Edge brand system — color palette, typography, iconography, and design language</w:t>
            </w:r>
          </w:p>
          <w:p>
            <w:pPr>
              <w:pStyle w:val="ListParagraph"/>
              <w:numPr>
                <w:ilvl w:val="0"/>
                <w:numId w:val="2"/>
              </w:numPr>
              <w:spacing w:after="60" w:before="60"/>
            </w:pPr>
            <w:r>
              <w:rPr>
                <w:rFonts w:ascii="Arial" w:cs="Arial" w:eastAsia="Arial" w:hAnsi="Arial"/>
                <w:color w:val="2C2C2C"/>
                <w:sz w:val="22"/>
                <w:szCs w:val="22"/>
              </w:rPr>
              <w:t xml:space="preserve">V&amp;E logo integration and brand adaptation</w:t>
            </w:r>
          </w:p>
          <w:p>
            <w:pPr>
              <w:pStyle w:val="ListParagraph"/>
              <w:numPr>
                <w:ilvl w:val="0"/>
                <w:numId w:val="2"/>
              </w:numPr>
              <w:spacing w:after="60" w:before="60"/>
            </w:pPr>
            <w:r>
              <w:rPr>
                <w:rFonts w:ascii="Arial" w:cs="Arial" w:eastAsia="Arial" w:hAnsi="Arial"/>
                <w:color w:val="2C2C2C"/>
                <w:sz w:val="22"/>
                <w:szCs w:val="22"/>
              </w:rPr>
              <w:t xml:space="preserve">Color key system — five-tier urgency hierarchy (red/amber/blue/green/gray)</w:t>
            </w:r>
          </w:p>
        </w:tc>
        <w:tc>
          <w:tcPr>
            <w:tcW w:type="dxa" w:w="4800"/>
            <w:tcBorders>
              <w:top w:val="none" w:color="FFFFFF" w:sz="0"/>
              <w:left w:val="none" w:color="FFFFFF" w:sz="0"/>
              <w:bottom w:val="none" w:color="FFFFFF" w:sz="0"/>
              <w:right w:val="none" w:color="FFFFFF" w:sz="0"/>
            </w:tcBorders>
            <w:tcMar>
              <w:top w:type="dxa" w:w="80"/>
              <w:left w:type="dxa" w:w="200"/>
              <w:bottom w:type="dxa" w:w="80"/>
              <w:right w:type="dxa" w:w="0"/>
            </w:tcMar>
          </w:tcPr>
          <w:p>
            <w:pPr>
              <w:spacing w:after="80" w:before="240"/>
            </w:pPr>
            <w:r>
              <w:rPr>
                <w:rFonts w:ascii="Arial" w:cs="Arial" w:eastAsia="Arial" w:hAnsi="Arial"/>
                <w:b/>
                <w:bCs/>
                <w:color w:val="0076BC"/>
                <w:sz w:val="24"/>
                <w:szCs w:val="24"/>
              </w:rPr>
              <w:t xml:space="preserve">Motion Graphics Package</w:t>
            </w:r>
          </w:p>
          <w:p>
            <w:pPr>
              <w:pStyle w:val="ListParagraph"/>
              <w:numPr>
                <w:ilvl w:val="0"/>
                <w:numId w:val="2"/>
              </w:numPr>
              <w:spacing w:after="60" w:before="60"/>
            </w:pPr>
            <w:r>
              <w:rPr>
                <w:rFonts w:ascii="Arial" w:cs="Arial" w:eastAsia="Arial" w:hAnsi="Arial"/>
                <w:color w:val="2C2C2C"/>
                <w:sz w:val="22"/>
                <w:szCs w:val="22"/>
              </w:rPr>
              <w:t xml:space="preserve">Brand reveal video — cinematic 15-second V&amp;E brand animation (H.264, 1280×720)</w:t>
            </w:r>
          </w:p>
          <w:p>
            <w:pPr>
              <w:pStyle w:val="ListParagraph"/>
              <w:numPr>
                <w:ilvl w:val="0"/>
                <w:numId w:val="2"/>
              </w:numPr>
              <w:spacing w:after="60" w:before="60"/>
            </w:pPr>
            <w:r>
              <w:rPr>
                <w:rFonts w:ascii="Arial" w:cs="Arial" w:eastAsia="Arial" w:hAnsi="Arial"/>
                <w:color w:val="2C2C2C"/>
                <w:sz w:val="22"/>
                <w:szCs w:val="22"/>
              </w:rPr>
              <w:t xml:space="preserve">Legal document scan transformation — 16-second animated before/after transformation with scan beam, text highlights, and after brief assembly</w:t>
            </w:r>
          </w:p>
          <w:p>
            <w:pPr>
              <w:pStyle w:val="ListParagraph"/>
              <w:numPr>
                <w:ilvl w:val="0"/>
                <w:numId w:val="2"/>
              </w:numPr>
              <w:spacing w:after="60" w:before="60"/>
            </w:pPr>
            <w:r>
              <w:rPr>
                <w:rFonts w:ascii="Arial" w:cs="Arial" w:eastAsia="Arial" w:hAnsi="Arial"/>
                <w:color w:val="2C2C2C"/>
                <w:sz w:val="22"/>
                <w:szCs w:val="22"/>
              </w:rPr>
              <w:t xml:space="preserve">Discovery brief transformation — AI Cup version with Assets Co. v. Properties L.P. case content</w:t>
            </w:r>
          </w:p>
          <w:p>
            <w:pPr>
              <w:pStyle w:val="ListParagraph"/>
              <w:numPr>
                <w:ilvl w:val="0"/>
                <w:numId w:val="2"/>
              </w:numPr>
              <w:spacing w:after="60" w:before="60"/>
            </w:pPr>
            <w:r>
              <w:rPr>
                <w:rFonts w:ascii="Arial" w:cs="Arial" w:eastAsia="Arial" w:hAnsi="Arial"/>
                <w:color w:val="2C2C2C"/>
                <w:sz w:val="22"/>
                <w:szCs w:val="22"/>
              </w:rPr>
              <w:t xml:space="preserve">Calendar intelligence Phase 1 — full-screen calendar with YOURS badge detection and floating word animations</w:t>
            </w:r>
          </w:p>
          <w:p>
            <w:pPr>
              <w:pStyle w:val="ListParagraph"/>
              <w:numPr>
                <w:ilvl w:val="0"/>
                <w:numId w:val="2"/>
              </w:numPr>
              <w:spacing w:after="60" w:before="60"/>
            </w:pPr>
            <w:r>
              <w:rPr>
                <w:rFonts w:ascii="Arial" w:cs="Arial" w:eastAsia="Arial" w:hAnsi="Arial"/>
                <w:color w:val="2C2C2C"/>
                <w:sz w:val="22"/>
                <w:szCs w:val="22"/>
              </w:rPr>
              <w:t xml:space="preserve">Calendar intelligence Phase 2 — inbox alert panel linked to assigned meetings</w:t>
            </w:r>
          </w:p>
          <w:p>
            <w:pPr>
              <w:pStyle w:val="ListParagraph"/>
              <w:numPr>
                <w:ilvl w:val="0"/>
                <w:numId w:val="2"/>
              </w:numPr>
              <w:spacing w:after="60" w:before="60"/>
            </w:pPr>
            <w:r>
              <w:rPr>
                <w:rFonts w:ascii="Arial" w:cs="Arial" w:eastAsia="Arial" w:hAnsi="Arial"/>
                <w:color w:val="2C2C2C"/>
                <w:sz w:val="22"/>
                <w:szCs w:val="22"/>
              </w:rPr>
              <w:t xml:space="preserve">Combined calendar narrative video — three-beat sequence: question → Phase 1 detection → Phase 2 inbox linking</w:t>
            </w:r>
          </w:p>
          <w:p>
            <w:pPr>
              <w:spacing w:after="0" w:before="80"/>
            </w:pPr>
          </w:p>
          <w:p>
            <w:pPr>
              <w:spacing w:after="80" w:before="240"/>
            </w:pPr>
            <w:r>
              <w:rPr>
                <w:rFonts w:ascii="Arial" w:cs="Arial" w:eastAsia="Arial" w:hAnsi="Arial"/>
                <w:b/>
                <w:bCs/>
                <w:color w:val="C97B00"/>
                <w:sz w:val="24"/>
                <w:szCs w:val="24"/>
              </w:rPr>
              <w:t xml:space="preserve">Interactive Mockups</w:t>
            </w:r>
          </w:p>
          <w:p>
            <w:pPr>
              <w:pStyle w:val="ListParagraph"/>
              <w:numPr>
                <w:ilvl w:val="0"/>
                <w:numId w:val="2"/>
              </w:numPr>
              <w:spacing w:after="60" w:before="60"/>
            </w:pPr>
            <w:r>
              <w:rPr>
                <w:rFonts w:ascii="Arial" w:cs="Arial" w:eastAsia="Arial" w:hAnsi="Arial"/>
                <w:color w:val="2C2C2C"/>
                <w:sz w:val="22"/>
                <w:szCs w:val="22"/>
              </w:rPr>
              <w:t xml:space="preserve">Visual Edge calendar phases — three-tab interactive HTML mockup (Phase 1 / Phase 2 / Phase 3)</w:t>
            </w:r>
          </w:p>
          <w:p>
            <w:pPr>
              <w:pStyle w:val="ListParagraph"/>
              <w:numPr>
                <w:ilvl w:val="0"/>
                <w:numId w:val="2"/>
              </w:numPr>
              <w:spacing w:after="60" w:before="60"/>
            </w:pPr>
            <w:r>
              <w:rPr>
                <w:rFonts w:ascii="Arial" w:cs="Arial" w:eastAsia="Arial" w:hAnsi="Arial"/>
                <w:color w:val="2C2C2C"/>
                <w:sz w:val="22"/>
                <w:szCs w:val="22"/>
              </w:rPr>
              <w:t xml:space="preserve">Workflow graphic — full three-phase overview with color key, demo panels, and roadmap footer (PNG, 1400×1309px)</w:t>
            </w:r>
          </w:p>
          <w:p>
            <w:pPr>
              <w:pStyle w:val="ListParagraph"/>
              <w:numPr>
                <w:ilvl w:val="0"/>
                <w:numId w:val="2"/>
              </w:numPr>
              <w:spacing w:after="60" w:before="60"/>
            </w:pPr>
            <w:r>
              <w:rPr>
                <w:rFonts w:ascii="Arial" w:cs="Arial" w:eastAsia="Arial" w:hAnsi="Arial"/>
                <w:color w:val="2C2C2C"/>
                <w:sz w:val="22"/>
                <w:szCs w:val="22"/>
              </w:rPr>
              <w:t xml:space="preserve">Before calendar reconstruction — faithful recreation of July 14, 2026 AV team calendar (PNG, 1540×1036px)</w:t>
            </w:r>
          </w:p>
        </w:tc>
      </w:tr>
    </w:tbl>
    <w:p>
      <w:pPr>
        <w:spacing w:after="0" w:before="200"/>
      </w:pPr>
    </w:p>
    <w:p>
      <w:r>
        <w:br w:type="page"/>
      </w:r>
    </w:p>
    <w:p>
      <w:pPr>
        <w:spacing w:after="60" w:before="280"/>
      </w:pPr>
      <w:r>
        <w:rPr>
          <w:rFonts w:ascii="Arial" w:cs="Arial" w:eastAsia="Arial" w:hAnsi="Arial"/>
          <w:b/>
          <w:bCs/>
          <w:color w:val="C8102E"/>
          <w:spacing w:val="80"/>
          <w:sz w:val="17"/>
          <w:szCs w:val="17"/>
        </w:rPr>
        <w:t xml:space="preserve">10 — LESSONS LEARNED</w:t>
      </w:r>
    </w:p>
    <w:p>
      <w:pPr>
        <w:spacing w:after="160" w:before="0"/>
      </w:pPr>
      <w:r>
        <w:rPr>
          <w:rFonts w:ascii="Arial" w:cs="Arial" w:eastAsia="Arial" w:hAnsi="Arial"/>
          <w:b/>
          <w:bCs/>
          <w:color w:val="1B2A4A"/>
          <w:sz w:val="36"/>
          <w:szCs w:val="36"/>
        </w:rPr>
        <w:t xml:space="preserve">What This Project Taught Me</w:t>
      </w:r>
    </w:p>
    <w:p>
      <w:pPr>
        <w:pBdr>
          <w:bottom w:val="single" w:color="C8102E" w:sz="12"/>
        </w:pBdr>
        <w:spacing w:after="100" w:before="100"/>
      </w:pPr>
    </w:p>
    <w:p>
      <w:pPr>
        <w:spacing w:after="0" w:before="120"/>
      </w:pPr>
    </w:p>
    <w:p>
      <w:pPr>
        <w:spacing w:after="80" w:before="240"/>
      </w:pPr>
      <w:r>
        <w:rPr>
          <w:rFonts w:ascii="Arial" w:cs="Arial" w:eastAsia="Arial" w:hAnsi="Arial"/>
          <w:b/>
          <w:bCs/>
          <w:color w:val="1B2A4A"/>
          <w:sz w:val="24"/>
          <w:szCs w:val="24"/>
        </w:rPr>
        <w:t xml:space="preserve">Communicating Complex Ideas Visually</w:t>
      </w:r>
    </w:p>
    <w:p>
      <w:pPr>
        <w:spacing w:after="80" w:before="80"/>
      </w:pPr>
      <w:r>
        <w:rPr>
          <w:rFonts w:ascii="Arial" w:cs="Arial" w:eastAsia="Arial" w:hAnsi="Arial"/>
          <w:b w:val="false"/>
          <w:bCs w:val="false"/>
          <w:color w:val="2C2C2C"/>
          <w:sz w:val="22"/>
          <w:szCs w:val="22"/>
        </w:rPr>
        <w:t xml:space="preserve">The most technically sophisticated idea in the room loses if it can't be understood in 30 seconds. Visual Edge required translating concepts from cognitive psychology, AI workflow design, and enterprise software architecture into visuals that anyone could grasp immediately. The discipline this required — ruthless simplification without loss of depth — is the skill I developed most through this project.</w:t>
      </w:r>
    </w:p>
    <w:p>
      <w:pPr>
        <w:spacing w:after="0" w:before="80"/>
      </w:pPr>
    </w:p>
    <w:p>
      <w:pPr>
        <w:spacing w:after="80" w:before="240"/>
      </w:pPr>
      <w:r>
        <w:rPr>
          <w:rFonts w:ascii="Arial" w:cs="Arial" w:eastAsia="Arial" w:hAnsi="Arial"/>
          <w:b/>
          <w:bCs/>
          <w:color w:val="1B2A4A"/>
          <w:sz w:val="24"/>
          <w:szCs w:val="24"/>
        </w:rPr>
        <w:t xml:space="preserve">Presenting to Executive Audiences</w:t>
      </w:r>
    </w:p>
    <w:p>
      <w:pPr>
        <w:spacing w:after="80" w:before="80"/>
      </w:pPr>
      <w:r>
        <w:rPr>
          <w:rFonts w:ascii="Arial" w:cs="Arial" w:eastAsia="Arial" w:hAnsi="Arial"/>
          <w:b w:val="false"/>
          <w:bCs w:val="false"/>
          <w:color w:val="2C2C2C"/>
          <w:sz w:val="22"/>
          <w:szCs w:val="22"/>
        </w:rPr>
        <w:t xml:space="preserve">Executive judges are not evaluating your technical knowledge. They are evaluating whether they would fund it, use it, or recommend it. That requires a completely different kind of communication — shorter, more concrete, more emotionally resonant, and much more focused on the problem than on the solution. I learned to lead with the pain, not the product.</w:t>
      </w:r>
    </w:p>
    <w:p>
      <w:pPr>
        <w:spacing w:after="0" w:before="80"/>
      </w:pPr>
    </w:p>
    <w:p>
      <w:pPr>
        <w:spacing w:after="80" w:before="240"/>
      </w:pPr>
      <w:r>
        <w:rPr>
          <w:rFonts w:ascii="Arial" w:cs="Arial" w:eastAsia="Arial" w:hAnsi="Arial"/>
          <w:b/>
          <w:bCs/>
          <w:color w:val="1B2A4A"/>
          <w:sz w:val="24"/>
          <w:szCs w:val="24"/>
        </w:rPr>
        <w:t xml:space="preserve">AI-Assisted Design Workflows</w:t>
      </w:r>
    </w:p>
    <w:p>
      <w:pPr>
        <w:spacing w:after="80" w:before="80"/>
      </w:pPr>
      <w:r>
        <w:rPr>
          <w:rFonts w:ascii="Arial" w:cs="Arial" w:eastAsia="Arial" w:hAnsi="Arial"/>
          <w:b w:val="false"/>
          <w:bCs w:val="false"/>
          <w:color w:val="2C2C2C"/>
          <w:sz w:val="22"/>
          <w:szCs w:val="22"/>
        </w:rPr>
        <w:t xml:space="preserve">Working with Claude as a creative and technical collaborator fundamentally changed how I think about production timelines. Deliverables that would have required weeks with a traditional design team were produced in days — because the AI could handle the implementation layer while I focused on direction, judgment, and refinement. The skill is not using the AI. The skill is knowing what to ask for, recognizing quality output, and iterating with precision.</w:t>
      </w:r>
    </w:p>
    <w:p>
      <w:pPr>
        <w:spacing w:after="0" w:before="80"/>
      </w:pPr>
    </w:p>
    <w:p>
      <w:pPr>
        <w:spacing w:after="80" w:before="240"/>
      </w:pPr>
      <w:r>
        <w:rPr>
          <w:rFonts w:ascii="Arial" w:cs="Arial" w:eastAsia="Arial" w:hAnsi="Arial"/>
          <w:b/>
          <w:bCs/>
          <w:color w:val="1B2A4A"/>
          <w:sz w:val="24"/>
          <w:szCs w:val="24"/>
        </w:rPr>
        <w:t xml:space="preserve">Accessibility-Focused Thinking</w:t>
      </w:r>
    </w:p>
    <w:p>
      <w:pPr>
        <w:spacing w:after="80" w:before="80"/>
      </w:pPr>
      <w:r>
        <w:rPr>
          <w:rFonts w:ascii="Arial" w:cs="Arial" w:eastAsia="Arial" w:hAnsi="Arial"/>
          <w:b w:val="false"/>
          <w:bCs w:val="false"/>
          <w:color w:val="2C2C2C"/>
          <w:sz w:val="22"/>
          <w:szCs w:val="22"/>
        </w:rPr>
        <w:t xml:space="preserve">Starting with accessibility as a design constraint — rather than adding it afterward — made the product stronger for everyone. The features built for neurodivergent users (neon highlights, larger type, spacing, high contrast) turned out to be features that every user benefited from. Inclusive design is not a tradeoff. It is a quality multiplier.</w:t>
      </w:r>
    </w:p>
    <w:p>
      <w:pPr>
        <w:spacing w:after="0" w:before="80"/>
      </w:pPr>
    </w:p>
    <w:p>
      <w:pPr>
        <w:spacing w:after="80" w:before="240"/>
      </w:pPr>
      <w:r>
        <w:rPr>
          <w:rFonts w:ascii="Arial" w:cs="Arial" w:eastAsia="Arial" w:hAnsi="Arial"/>
          <w:b/>
          <w:bCs/>
          <w:color w:val="1B2A4A"/>
          <w:sz w:val="24"/>
          <w:szCs w:val="24"/>
        </w:rPr>
        <w:t xml:space="preserve">Innovation Under Time Constraints</w:t>
      </w:r>
    </w:p>
    <w:p>
      <w:pPr>
        <w:spacing w:after="80" w:before="80"/>
      </w:pPr>
      <w:r>
        <w:rPr>
          <w:rFonts w:ascii="Arial" w:cs="Arial" w:eastAsia="Arial" w:hAnsi="Arial"/>
          <w:b w:val="false"/>
          <w:bCs w:val="false"/>
          <w:color w:val="2C2C2C"/>
          <w:sz w:val="22"/>
          <w:szCs w:val="22"/>
        </w:rPr>
        <w:t xml:space="preserve">A hackathon is a compressed simulation of real product development — the same creative pressure, the same prioritization decisions, the same tension between polish and substance. The lesson is that constraint is clarifying. When you cannot do everything, you discover what actually matters. Every decision I made — which deliverables to build, which features to describe, which questions to prepare — sharpened my understanding of the core product value.</w:t>
      </w:r>
    </w:p>
    <w:p>
      <w:pPr>
        <w:spacing w:after="0" w:before="80"/>
      </w:pPr>
    </w:p>
    <w:p>
      <w:pPr>
        <w:spacing w:after="80" w:before="240"/>
      </w:pPr>
      <w:r>
        <w:rPr>
          <w:rFonts w:ascii="Arial" w:cs="Arial" w:eastAsia="Arial" w:hAnsi="Arial"/>
          <w:b/>
          <w:bCs/>
          <w:color w:val="1B2A4A"/>
          <w:sz w:val="24"/>
          <w:szCs w:val="24"/>
        </w:rPr>
        <w:t xml:space="preserve">Product Storytelling</w:t>
      </w:r>
    </w:p>
    <w:p>
      <w:pPr>
        <w:spacing w:after="80" w:before="80"/>
      </w:pPr>
      <w:r>
        <w:rPr>
          <w:rFonts w:ascii="Arial" w:cs="Arial" w:eastAsia="Arial" w:hAnsi="Arial"/>
          <w:b w:val="false"/>
          <w:bCs w:val="false"/>
          <w:color w:val="2C2C2C"/>
          <w:sz w:val="22"/>
          <w:szCs w:val="22"/>
        </w:rPr>
        <w:t xml:space="preserve">A product that cannot be explained to a non-technical audience does not yet have a clear value proposition. The work of making Visual Edge explainable — through demos, before/after comparisons, real calendar data, and a narrative arc from overwhelm to clarity — forced clarity about what the product actually was. Story and strategy are not separate activities. Story is how strategy becomes real.</w:t>
      </w:r>
    </w:p>
    <w:p>
      <w:pPr>
        <w:spacing w:after="0" w:before="200"/>
      </w:pPr>
    </w:p>
    <w:p>
      <w:r>
        <w:br w:type="page"/>
      </w:r>
    </w:p>
    <w:p>
      <w:pPr>
        <w:spacing w:after="60" w:before="280"/>
      </w:pPr>
      <w:r>
        <w:rPr>
          <w:rFonts w:ascii="Arial" w:cs="Arial" w:eastAsia="Arial" w:hAnsi="Arial"/>
          <w:b/>
          <w:bCs/>
          <w:color w:val="C8102E"/>
          <w:spacing w:val="80"/>
          <w:sz w:val="17"/>
          <w:szCs w:val="17"/>
        </w:rPr>
        <w:t xml:space="preserve">11 — REFLECTION</w:t>
      </w:r>
    </w:p>
    <w:p>
      <w:pPr>
        <w:spacing w:after="160" w:before="0"/>
      </w:pPr>
      <w:r>
        <w:rPr>
          <w:rFonts w:ascii="Arial" w:cs="Arial" w:eastAsia="Arial" w:hAnsi="Arial"/>
          <w:b/>
          <w:bCs/>
          <w:color w:val="1B2A4A"/>
          <w:sz w:val="36"/>
          <w:szCs w:val="36"/>
        </w:rPr>
        <w:t xml:space="preserve">What Visual Edge Revealed</w:t>
      </w:r>
    </w:p>
    <w:p>
      <w:pPr>
        <w:pBdr>
          <w:bottom w:val="single" w:color="C8102E" w:sz="12"/>
        </w:pBdr>
        <w:spacing w:after="100" w:before="100"/>
      </w:pPr>
    </w:p>
    <w:p>
      <w:pPr>
        <w:spacing w:after="0" w:before="120"/>
      </w:pPr>
    </w:p>
    <w:p>
      <w:pPr>
        <w:spacing w:after="80" w:before="80"/>
      </w:pPr>
      <w:r>
        <w:rPr>
          <w:rFonts w:ascii="Arial" w:cs="Arial" w:eastAsia="Arial" w:hAnsi="Arial"/>
          <w:b w:val="false"/>
          <w:bCs w:val="false"/>
          <w:color w:val="2C2C2C"/>
          <w:sz w:val="22"/>
          <w:szCs w:val="22"/>
        </w:rPr>
        <w:t xml:space="preserve">Visual Edge began as a response to a specific frustration — a calendar too crowded to read, a name buried in a location field, a meeting missed because the signal was identical to the noise. What it became was something larger: a product philosophy about how AI should work in professional environments.</w:t>
      </w:r>
    </w:p>
    <w:p>
      <w:pPr>
        <w:spacing w:after="0" w:before="80"/>
      </w:pPr>
    </w:p>
    <w:p>
      <w:pPr>
        <w:spacing w:after="80" w:before="80"/>
      </w:pPr>
      <w:r>
        <w:rPr>
          <w:rFonts w:ascii="Arial" w:cs="Arial" w:eastAsia="Arial" w:hAnsi="Arial"/>
          <w:b w:val="false"/>
          <w:bCs w:val="false"/>
          <w:color w:val="2C2C2C"/>
          <w:sz w:val="22"/>
          <w:szCs w:val="22"/>
        </w:rPr>
        <w:t xml:space="preserve">The most important design decision in the entire project was also the least technical: Visual Edge does not replace human judgment. It does not decide what matters. It does not automate action. It makes the important thing visible so that a person can decide. That constraint — AI as perception, not agency — turned out to be the entire product.</w:t>
      </w:r>
    </w:p>
    <w:p>
      <w:pPr>
        <w:spacing w:after="0" w:before="120"/>
      </w:pPr>
    </w:p>
    <w:p>
      <w:pPr>
        <w:pBdr>
          <w:left w:val="single" w:color="C8102E" w:sz="24"/>
        </w:pBdr>
        <w:spacing w:after="240" w:before="240"/>
        <w:ind w:left="480" w:right="480"/>
      </w:pPr>
      <w:r>
        <w:rPr>
          <w:rFonts w:ascii="Arial" w:cs="Arial" w:eastAsia="Arial" w:hAnsi="Arial"/>
          <w:b/>
          <w:bCs/>
          <w:color w:val="1B2A4A"/>
          <w:sz w:val="28"/>
          <w:szCs w:val="28"/>
        </w:rPr>
        <w:t xml:space="preserve">The best AI tools are not the ones that do the most. They are the ones that free people to bring their judgment to what actually requires it.</w:t>
      </w:r>
    </w:p>
    <w:p>
      <w:pPr>
        <w:spacing w:after="0" w:before="120"/>
      </w:pPr>
    </w:p>
    <w:p>
      <w:pPr>
        <w:spacing w:after="80" w:before="80"/>
      </w:pPr>
      <w:r>
        <w:rPr>
          <w:rFonts w:ascii="Arial" w:cs="Arial" w:eastAsia="Arial" w:hAnsi="Arial"/>
          <w:b w:val="false"/>
          <w:bCs w:val="false"/>
          <w:color w:val="2C2C2C"/>
          <w:sz w:val="22"/>
          <w:szCs w:val="22"/>
        </w:rPr>
        <w:t xml:space="preserve">This project revealed strengths I had not fully articulated before:</w:t>
      </w:r>
    </w:p>
    <w:p>
      <w:pPr>
        <w:spacing w:after="0" w:before="60"/>
      </w:pPr>
    </w:p>
    <w:p>
      <w:pPr>
        <w:pStyle w:val="ListParagraph"/>
        <w:numPr>
          <w:ilvl w:val="0"/>
          <w:numId w:val="2"/>
        </w:numPr>
        <w:spacing w:after="60" w:before="60"/>
      </w:pPr>
      <w:r>
        <w:rPr>
          <w:rFonts w:ascii="Arial" w:cs="Arial" w:eastAsia="Arial" w:hAnsi="Arial"/>
          <w:color w:val="2C2C2C"/>
          <w:sz w:val="22"/>
          <w:szCs w:val="22"/>
        </w:rPr>
        <w:t xml:space="preserve">Product thinking — the ability to identify the real problem beneath the surface problem, and to propose solutions that scale</w:t>
      </w:r>
    </w:p>
    <w:p>
      <w:pPr>
        <w:pStyle w:val="ListParagraph"/>
        <w:numPr>
          <w:ilvl w:val="0"/>
          <w:numId w:val="2"/>
        </w:numPr>
        <w:spacing w:after="60" w:before="60"/>
      </w:pPr>
      <w:r>
        <w:rPr>
          <w:rFonts w:ascii="Arial" w:cs="Arial" w:eastAsia="Arial" w:hAnsi="Arial"/>
          <w:color w:val="2C2C2C"/>
          <w:sz w:val="22"/>
          <w:szCs w:val="22"/>
        </w:rPr>
        <w:t xml:space="preserve">Creative problem solving — finding the unexpected connection between handwritten note-taking research and enterprise AI deployment</w:t>
      </w:r>
    </w:p>
    <w:p>
      <w:pPr>
        <w:pStyle w:val="ListParagraph"/>
        <w:numPr>
          <w:ilvl w:val="0"/>
          <w:numId w:val="2"/>
        </w:numPr>
        <w:spacing w:after="60" w:before="60"/>
      </w:pPr>
      <w:r>
        <w:rPr>
          <w:rFonts w:ascii="Arial" w:cs="Arial" w:eastAsia="Arial" w:hAnsi="Arial"/>
          <w:color w:val="2C2C2C"/>
          <w:sz w:val="22"/>
          <w:szCs w:val="22"/>
        </w:rPr>
        <w:t xml:space="preserve">Visual storytelling — translating abstract cognitive concepts into demonstrations that create the 'I feel that' moment in an audience</w:t>
      </w:r>
    </w:p>
    <w:p>
      <w:pPr>
        <w:pStyle w:val="ListParagraph"/>
        <w:numPr>
          <w:ilvl w:val="0"/>
          <w:numId w:val="2"/>
        </w:numPr>
        <w:spacing w:after="60" w:before="60"/>
      </w:pPr>
      <w:r>
        <w:rPr>
          <w:rFonts w:ascii="Arial" w:cs="Arial" w:eastAsia="Arial" w:hAnsi="Arial"/>
          <w:color w:val="2C2C2C"/>
          <w:sz w:val="22"/>
          <w:szCs w:val="22"/>
        </w:rPr>
        <w:t xml:space="preserve">AI workflow design — developing a production methodology that uses AI as a genuine creative collaborator, not a shortcut</w:t>
      </w:r>
    </w:p>
    <w:p>
      <w:pPr>
        <w:pStyle w:val="ListParagraph"/>
        <w:numPr>
          <w:ilvl w:val="0"/>
          <w:numId w:val="2"/>
        </w:numPr>
        <w:spacing w:after="60" w:before="60"/>
      </w:pPr>
      <w:r>
        <w:rPr>
          <w:rFonts w:ascii="Arial" w:cs="Arial" w:eastAsia="Arial" w:hAnsi="Arial"/>
          <w:color w:val="2C2C2C"/>
          <w:sz w:val="22"/>
          <w:szCs w:val="22"/>
        </w:rPr>
        <w:t xml:space="preserve">Accessibility strategy — centering human difference as a design input rather than an accommodation</w:t>
      </w:r>
    </w:p>
    <w:p>
      <w:pPr>
        <w:pStyle w:val="ListParagraph"/>
        <w:numPr>
          <w:ilvl w:val="0"/>
          <w:numId w:val="2"/>
        </w:numPr>
        <w:spacing w:after="60" w:before="60"/>
      </w:pPr>
      <w:r>
        <w:rPr>
          <w:rFonts w:ascii="Arial" w:cs="Arial" w:eastAsia="Arial" w:hAnsi="Arial"/>
          <w:color w:val="2C2C2C"/>
          <w:sz w:val="22"/>
          <w:szCs w:val="22"/>
        </w:rPr>
        <w:t xml:space="preserve">Innovation leadership — conceiving, building, and delivering a portfolio-quality product under hackathon constraints</w:t>
      </w:r>
    </w:p>
    <w:p>
      <w:pPr>
        <w:spacing w:after="0" w:before="120"/>
      </w:pPr>
    </w:p>
    <w:p>
      <w:pPr>
        <w:spacing w:after="80" w:before="80"/>
      </w:pPr>
      <w:r>
        <w:rPr>
          <w:rFonts w:ascii="Arial" w:cs="Arial" w:eastAsia="Arial" w:hAnsi="Arial"/>
          <w:b w:val="false"/>
          <w:bCs w:val="false"/>
          <w:color w:val="2C2C2C"/>
          <w:sz w:val="22"/>
          <w:szCs w:val="22"/>
        </w:rPr>
        <w:t xml:space="preserve">The feedback that meant the most was simple: 'I've felt exactly that problem.' When a product idea lands that way — before the demo, before the slides, at the problem statement — it means the product is real. Visual Edge is real. The gap it fills is real. And the work required to communicate that clearly is work I am proud of.</w:t>
      </w:r>
    </w:p>
    <w:p>
      <w:pPr>
        <w:spacing w:after="0" w:before="160"/>
      </w:pPr>
    </w:p>
    <w:p>
      <w:pPr>
        <w:pBdr>
          <w:bottom w:val="single" w:color="C8102E" w:sz="12"/>
        </w:pBdr>
        <w:spacing w:after="100" w:before="100"/>
      </w:pPr>
    </w:p>
    <w:p>
      <w:pPr>
        <w:spacing w:after="0" w:before="80"/>
      </w:pPr>
    </w:p>
    <w:p>
      <w:pPr>
        <w:spacing w:after="40" w:before="80"/>
        <w:jc w:val="center"/>
      </w:pPr>
      <w:r>
        <w:rPr>
          <w:rFonts w:ascii="Arial" w:cs="Arial" w:eastAsia="Arial" w:hAnsi="Arial"/>
          <w:b/>
          <w:bCs/>
          <w:color w:val="1B2A4A"/>
          <w:spacing w:val="80"/>
          <w:sz w:val="20"/>
          <w:szCs w:val="20"/>
        </w:rPr>
        <w:t xml:space="preserve">VISUAL EDGE  ·  Signal Over Noise</w:t>
      </w:r>
    </w:p>
    <w:p>
      <w:pPr>
        <w:spacing w:after="40" w:before="0"/>
        <w:jc w:val="center"/>
      </w:pPr>
      <w:r>
        <w:rPr>
          <w:rFonts w:ascii="Arial" w:cs="Arial" w:eastAsia="Arial" w:hAnsi="Arial"/>
          <w:color w:val="5F636A"/>
          <w:sz w:val="18"/>
          <w:szCs w:val="18"/>
        </w:rPr>
        <w:t xml:space="preserve">Brooklyn Mettlach  ·  Vinson &amp; Elkins LLP  ·  GenAI Hackathon  ·  2026</w:t>
      </w:r>
    </w:p>
    <w:p>
      <w:pPr>
        <w:spacing w:after="0" w:before="0"/>
        <w:jc w:val="center"/>
      </w:pPr>
      <w:r>
        <w:rPr>
          <w:rFonts w:ascii="Arial" w:cs="Arial" w:eastAsia="Arial" w:hAnsi="Arial"/>
          <w:color w:val="C8102E"/>
          <w:sz w:val="18"/>
          <w:szCs w:val="18"/>
        </w:rPr>
        <w:t xml:space="preserve">Process less.  See more.  Act sooner.</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8D6" w:sz="4"/>
      </w:pBdr>
      <w:tabs>
        <w:tab w:val="right" w:pos="9026"/>
      </w:tabs>
      <w:spacing w:before="80"/>
    </w:pPr>
    <w:r>
      <w:rPr>
        <w:rFonts w:ascii="Arial" w:cs="Arial" w:eastAsia="Arial" w:hAnsi="Arial"/>
        <w:color w:val="5F636A"/>
        <w:sz w:val="16"/>
        <w:szCs w:val="16"/>
      </w:rPr>
      <w:t xml:space="preserve">Vinson &amp; Elkins LLP  ·  Confidential &amp; Proprietary  ·  2026</w:t>
    </w:r>
    <w:r>
      <w:rPr>
        <w:rFonts w:ascii="Arial" w:cs="Arial" w:eastAsia="Arial" w:hAnsi="Arial"/>
        <w:sz w:val="16"/>
        <w:szCs w:val="16"/>
      </w:rPr>
      <w:t xml:space="preserve">	</w:t>
    </w:r>
    <w:r>
      <w:rPr>
        <w:rFonts w:ascii="Arial" w:cs="Arial" w:eastAsia="Arial" w:hAnsi="Arial"/>
        <w:color w:val="5F636A"/>
        <w:sz w:val="16"/>
        <w:szCs w:val="16"/>
      </w:rPr>
      <w:t xml:space="preserve">Page </w:t>
    </w:r>
    <w:fldSimple w:instr="[object Objec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left w:val="none"/>
            <w:bottom w:val="single" w:color="C8102E" w:sz="6"/>
            <w:right w:val="none"/>
          </w:tcBorders>
          <w:tcMar>
            <w:top w:type="dxa" w:w="0"/>
            <w:left w:type="dxa" w:w="0"/>
            <w:bottom w:type="dxa" w:w="80"/>
            <w:right w:type="dxa" w:w="0"/>
          </w:tcMar>
        </w:tcPr>
        <w:p>
          <w:r>
            <w:rPr>
              <w:rFonts w:ascii="Arial" w:cs="Arial" w:eastAsia="Arial" w:hAnsi="Arial"/>
              <w:b/>
              <w:bCs/>
              <w:color w:val="1B2A4A"/>
              <w:spacing w:val="40"/>
              <w:sz w:val="16"/>
              <w:szCs w:val="16"/>
            </w:rPr>
            <w:t xml:space="preserve">VISUAL EDGE  ·  Signal Over Noise</w:t>
          </w:r>
        </w:p>
      </w:tc>
      <w:tc>
        <w:tcPr>
          <w:tcW w:type="dxa" w:w="5040"/>
          <w:tcBorders>
            <w:top w:val="none"/>
            <w:left w:val="none"/>
            <w:bottom w:val="single" w:color="C8102E" w:sz="6"/>
            <w:right w:val="none"/>
          </w:tcBorders>
          <w:tcMar>
            <w:top w:type="dxa" w:w="0"/>
            <w:left w:type="dxa" w:w="0"/>
            <w:bottom w:type="dxa" w:w="80"/>
            <w:right w:type="dxa" w:w="0"/>
          </w:tcMar>
        </w:tcPr>
        <w:p>
          <w:pPr>
            <w:jc w:val="right"/>
          </w:pPr>
          <w:r>
            <w:rPr>
              <w:rFonts w:ascii="Arial" w:cs="Arial" w:eastAsia="Arial" w:hAnsi="Arial"/>
              <w:color w:val="5F636A"/>
              <w:sz w:val="16"/>
              <w:szCs w:val="16"/>
            </w:rPr>
            <w:t xml:space="preserve">Product Case Study  ·  Brooklyn Mettlach</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rFonts w:ascii="Arial" w:cs="Arial" w:eastAsia="Arial" w:hAnsi="Arial"/>
        <w:color w:val="C8102E"/>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2026-06-22T13:55:58.703Z</dcterms:created>
  <dcterms:modified xsi:type="dcterms:W3CDTF">2026-06-22T13:55:58.703Z</dcterms:modified>
</cp:coreProperties>
</file>

<file path=docProps/custom.xml><?xml version="1.0" encoding="utf-8"?>
<Properties xmlns="http://schemas.openxmlformats.org/officeDocument/2006/custom-properties" xmlns:vt="http://schemas.openxmlformats.org/officeDocument/2006/docPropsVTypes"/>
</file>